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53" w:rsidRPr="00C07167" w:rsidRDefault="00EF0C53" w:rsidP="00EF0C53">
      <w:pPr>
        <w:spacing w:after="0" w:line="240" w:lineRule="auto"/>
        <w:jc w:val="center"/>
        <w:rPr>
          <w:rFonts w:ascii="Times New Roman" w:hAnsi="Times New Roman" w:cs="Times New Roman"/>
          <w:b/>
          <w:i/>
          <w:sz w:val="24"/>
          <w:szCs w:val="24"/>
        </w:rPr>
      </w:pPr>
      <w:r w:rsidRPr="00C07167">
        <w:rPr>
          <w:rFonts w:ascii="Times New Roman" w:hAnsi="Times New Roman" w:cs="Times New Roman"/>
          <w:b/>
          <w:color w:val="000000" w:themeColor="text1"/>
          <w:sz w:val="24"/>
          <w:szCs w:val="24"/>
        </w:rPr>
        <w:t>P</w:t>
      </w:r>
      <w:proofErr w:type="spellStart"/>
      <w:r w:rsidRPr="00C07167">
        <w:rPr>
          <w:rFonts w:ascii="Times New Roman" w:hAnsi="Times New Roman" w:cs="Times New Roman"/>
          <w:b/>
          <w:color w:val="000000" w:themeColor="text1"/>
          <w:sz w:val="24"/>
          <w:szCs w:val="24"/>
          <w:lang w:val="en-US"/>
        </w:rPr>
        <w:t>engaruh</w:t>
      </w:r>
      <w:proofErr w:type="spellEnd"/>
      <w:r w:rsidRPr="00C07167">
        <w:rPr>
          <w:rFonts w:ascii="Times New Roman" w:hAnsi="Times New Roman" w:cs="Times New Roman"/>
          <w:b/>
          <w:color w:val="000000" w:themeColor="text1"/>
          <w:sz w:val="24"/>
          <w:szCs w:val="24"/>
        </w:rPr>
        <w:t xml:space="preserve"> Kombinasi</w:t>
      </w:r>
      <w:r w:rsidRPr="00C07167">
        <w:rPr>
          <w:rFonts w:ascii="Times New Roman" w:hAnsi="Times New Roman" w:cs="Times New Roman"/>
          <w:b/>
          <w:color w:val="000000" w:themeColor="text1"/>
          <w:sz w:val="24"/>
          <w:szCs w:val="24"/>
          <w:lang w:val="en-US"/>
        </w:rPr>
        <w:t xml:space="preserve"> </w:t>
      </w:r>
      <w:r w:rsidRPr="00C07167">
        <w:rPr>
          <w:rFonts w:ascii="Times New Roman" w:hAnsi="Times New Roman" w:cs="Times New Roman"/>
          <w:b/>
          <w:color w:val="000000" w:themeColor="text1"/>
          <w:sz w:val="24"/>
          <w:szCs w:val="24"/>
        </w:rPr>
        <w:t>Dekokta Rimpang Jahe</w:t>
      </w:r>
      <w:r w:rsidRPr="00C07167">
        <w:rPr>
          <w:rFonts w:ascii="Times New Roman" w:hAnsi="Times New Roman" w:cs="Times New Roman"/>
          <w:b/>
          <w:color w:val="000000" w:themeColor="text1"/>
          <w:sz w:val="24"/>
          <w:szCs w:val="24"/>
          <w:lang w:val="en-US"/>
        </w:rPr>
        <w:t xml:space="preserve"> </w:t>
      </w:r>
      <w:r w:rsidRPr="00C07167">
        <w:rPr>
          <w:rFonts w:ascii="Times New Roman" w:hAnsi="Times New Roman" w:cs="Times New Roman"/>
          <w:b/>
          <w:color w:val="000000" w:themeColor="text1"/>
          <w:sz w:val="24"/>
          <w:szCs w:val="24"/>
        </w:rPr>
        <w:t xml:space="preserve">Merah </w:t>
      </w:r>
      <w:r w:rsidRPr="00C07167">
        <w:rPr>
          <w:rFonts w:ascii="Times New Roman" w:hAnsi="Times New Roman" w:cs="Times New Roman"/>
          <w:b/>
          <w:color w:val="000000" w:themeColor="text1"/>
          <w:sz w:val="24"/>
          <w:szCs w:val="24"/>
          <w:lang w:val="en-US"/>
        </w:rPr>
        <w:t>(</w:t>
      </w:r>
      <w:proofErr w:type="spellStart"/>
      <w:r w:rsidRPr="00C07167">
        <w:rPr>
          <w:rFonts w:ascii="Times New Roman" w:hAnsi="Times New Roman" w:cs="Times New Roman"/>
          <w:b/>
          <w:i/>
          <w:color w:val="000000" w:themeColor="text1"/>
          <w:sz w:val="24"/>
          <w:szCs w:val="24"/>
          <w:lang w:val="en-US"/>
        </w:rPr>
        <w:t>Zingiber</w:t>
      </w:r>
      <w:proofErr w:type="spellEnd"/>
      <w:r w:rsidRPr="00C07167">
        <w:rPr>
          <w:rFonts w:ascii="Times New Roman" w:hAnsi="Times New Roman" w:cs="Times New Roman"/>
          <w:b/>
          <w:i/>
          <w:color w:val="000000" w:themeColor="text1"/>
          <w:sz w:val="24"/>
          <w:szCs w:val="24"/>
          <w:lang w:val="en-US"/>
        </w:rPr>
        <w:t xml:space="preserve"> </w:t>
      </w:r>
      <w:proofErr w:type="spellStart"/>
      <w:r w:rsidRPr="00C07167">
        <w:rPr>
          <w:rFonts w:ascii="Times New Roman" w:hAnsi="Times New Roman" w:cs="Times New Roman"/>
          <w:b/>
          <w:i/>
          <w:color w:val="000000" w:themeColor="text1"/>
          <w:sz w:val="24"/>
          <w:szCs w:val="24"/>
          <w:lang w:val="en-US"/>
        </w:rPr>
        <w:t>officinale</w:t>
      </w:r>
      <w:proofErr w:type="spellEnd"/>
      <w:r w:rsidRPr="00C07167">
        <w:rPr>
          <w:rFonts w:ascii="Times New Roman" w:hAnsi="Times New Roman" w:cs="Times New Roman"/>
          <w:b/>
          <w:i/>
          <w:color w:val="000000" w:themeColor="text1"/>
          <w:sz w:val="24"/>
          <w:szCs w:val="24"/>
          <w:lang w:val="en-US"/>
        </w:rPr>
        <w:t>)</w:t>
      </w:r>
      <w:r w:rsidRPr="00C07167">
        <w:rPr>
          <w:rFonts w:ascii="Times New Roman" w:hAnsi="Times New Roman" w:cs="Times New Roman"/>
          <w:b/>
          <w:color w:val="000000" w:themeColor="text1"/>
          <w:sz w:val="24"/>
          <w:szCs w:val="24"/>
        </w:rPr>
        <w:t xml:space="preserve"> dan Alang-Alang</w:t>
      </w:r>
      <w:r w:rsidRPr="00C07167">
        <w:rPr>
          <w:rFonts w:ascii="Times New Roman" w:hAnsi="Times New Roman" w:cs="Times New Roman"/>
          <w:b/>
          <w:color w:val="000000" w:themeColor="text1"/>
          <w:sz w:val="24"/>
          <w:szCs w:val="24"/>
          <w:lang w:val="en-US"/>
        </w:rPr>
        <w:t xml:space="preserve"> (</w:t>
      </w:r>
      <w:proofErr w:type="spellStart"/>
      <w:r w:rsidRPr="00C07167">
        <w:rPr>
          <w:rFonts w:ascii="Times New Roman" w:hAnsi="Times New Roman" w:cs="Times New Roman"/>
          <w:b/>
          <w:i/>
          <w:color w:val="000000" w:themeColor="text1"/>
          <w:sz w:val="24"/>
          <w:szCs w:val="24"/>
          <w:lang w:val="en-US"/>
        </w:rPr>
        <w:t>Imperata</w:t>
      </w:r>
      <w:proofErr w:type="spellEnd"/>
      <w:r w:rsidRPr="00C07167">
        <w:rPr>
          <w:rFonts w:ascii="Times New Roman" w:hAnsi="Times New Roman" w:cs="Times New Roman"/>
          <w:b/>
          <w:i/>
          <w:color w:val="000000" w:themeColor="text1"/>
          <w:sz w:val="24"/>
          <w:szCs w:val="24"/>
          <w:lang w:val="en-US"/>
        </w:rPr>
        <w:t xml:space="preserve"> </w:t>
      </w:r>
      <w:proofErr w:type="spellStart"/>
      <w:r w:rsidRPr="00C07167">
        <w:rPr>
          <w:rFonts w:ascii="Times New Roman" w:hAnsi="Times New Roman" w:cs="Times New Roman"/>
          <w:b/>
          <w:i/>
          <w:color w:val="000000" w:themeColor="text1"/>
          <w:sz w:val="24"/>
          <w:szCs w:val="24"/>
          <w:lang w:val="en-US"/>
        </w:rPr>
        <w:t>cylindrica</w:t>
      </w:r>
      <w:proofErr w:type="spellEnd"/>
      <w:r w:rsidRPr="00C07167">
        <w:rPr>
          <w:rFonts w:ascii="Times New Roman" w:hAnsi="Times New Roman" w:cs="Times New Roman"/>
          <w:b/>
          <w:i/>
          <w:color w:val="000000" w:themeColor="text1"/>
          <w:sz w:val="24"/>
          <w:szCs w:val="24"/>
          <w:lang w:val="en-US"/>
        </w:rPr>
        <w:t>)</w:t>
      </w:r>
      <w:r w:rsidRPr="00C07167">
        <w:rPr>
          <w:rFonts w:ascii="Times New Roman" w:hAnsi="Times New Roman" w:cs="Times New Roman"/>
          <w:b/>
          <w:i/>
          <w:color w:val="000000" w:themeColor="text1"/>
          <w:sz w:val="24"/>
          <w:szCs w:val="24"/>
        </w:rPr>
        <w:t xml:space="preserve"> </w:t>
      </w:r>
      <w:r>
        <w:rPr>
          <w:rFonts w:ascii="Times New Roman" w:hAnsi="Times New Roman" w:cs="Times New Roman"/>
          <w:b/>
          <w:color w:val="000000" w:themeColor="text1"/>
          <w:sz w:val="24"/>
          <w:szCs w:val="24"/>
        </w:rPr>
        <w:t>Pada</w:t>
      </w:r>
      <w:r w:rsidRPr="00C07167">
        <w:rPr>
          <w:rFonts w:ascii="Times New Roman" w:hAnsi="Times New Roman" w:cs="Times New Roman"/>
          <w:b/>
          <w:color w:val="000000" w:themeColor="text1"/>
          <w:sz w:val="24"/>
          <w:szCs w:val="24"/>
        </w:rPr>
        <w:t xml:space="preserve"> Penurunan Kadar </w:t>
      </w:r>
      <w:r>
        <w:rPr>
          <w:rFonts w:ascii="Times New Roman" w:hAnsi="Times New Roman" w:cs="Times New Roman"/>
          <w:b/>
          <w:color w:val="000000" w:themeColor="text1"/>
          <w:sz w:val="24"/>
          <w:szCs w:val="24"/>
        </w:rPr>
        <w:t xml:space="preserve">Interleukin-1β </w:t>
      </w:r>
      <w:r w:rsidRPr="00C07167">
        <w:rPr>
          <w:rFonts w:ascii="Times New Roman" w:hAnsi="Times New Roman" w:cs="Times New Roman"/>
          <w:b/>
          <w:color w:val="000000" w:themeColor="text1"/>
          <w:sz w:val="24"/>
          <w:szCs w:val="24"/>
        </w:rPr>
        <w:t xml:space="preserve">Serum dan Jumlah Leukosit Tikus Wistar Jantan </w:t>
      </w:r>
      <w:r w:rsidRPr="00C07167">
        <w:rPr>
          <w:rFonts w:ascii="Times New Roman" w:hAnsi="Times New Roman" w:cs="Times New Roman"/>
          <w:b/>
          <w:color w:val="000000" w:themeColor="text1"/>
          <w:sz w:val="24"/>
          <w:szCs w:val="24"/>
          <w:lang w:val="en-US"/>
        </w:rPr>
        <w:t xml:space="preserve">yang </w:t>
      </w:r>
      <w:proofErr w:type="spellStart"/>
      <w:r w:rsidRPr="00C07167">
        <w:rPr>
          <w:rFonts w:ascii="Times New Roman" w:hAnsi="Times New Roman" w:cs="Times New Roman"/>
          <w:b/>
          <w:color w:val="000000" w:themeColor="text1"/>
          <w:sz w:val="24"/>
          <w:szCs w:val="24"/>
          <w:lang w:val="en-US"/>
        </w:rPr>
        <w:t>Diinduksi</w:t>
      </w:r>
      <w:proofErr w:type="spellEnd"/>
      <w:r w:rsidRPr="00C07167">
        <w:rPr>
          <w:rFonts w:ascii="Times New Roman" w:hAnsi="Times New Roman" w:cs="Times New Roman"/>
          <w:b/>
          <w:color w:val="000000" w:themeColor="text1"/>
          <w:sz w:val="24"/>
          <w:szCs w:val="24"/>
          <w:lang w:val="en-US"/>
        </w:rPr>
        <w:t xml:space="preserve"> </w:t>
      </w:r>
      <w:r w:rsidRPr="00C07167">
        <w:rPr>
          <w:rFonts w:ascii="Times New Roman" w:hAnsi="Times New Roman" w:cs="Times New Roman"/>
          <w:b/>
          <w:i/>
          <w:sz w:val="24"/>
          <w:szCs w:val="24"/>
        </w:rPr>
        <w:t>Complete Freund’s Adjuvant</w:t>
      </w:r>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C07167">
        <w:rPr>
          <w:rFonts w:ascii="Times New Roman" w:eastAsia="Calibri" w:hAnsi="Times New Roman" w:cs="Times New Roman"/>
          <w:color w:val="000000"/>
          <w:sz w:val="20"/>
          <w:szCs w:val="20"/>
        </w:rPr>
        <w:t>Rahma Auri Wijayanti</w:t>
      </w:r>
      <w:r w:rsidRPr="00C07167">
        <w:rPr>
          <w:rFonts w:ascii="Times New Roman" w:eastAsia="Calibri" w:hAnsi="Times New Roman" w:cs="Times New Roman"/>
          <w:color w:val="000000"/>
          <w:sz w:val="20"/>
          <w:szCs w:val="20"/>
          <w:vertAlign w:val="superscript"/>
        </w:rPr>
        <w:t>*</w:t>
      </w:r>
      <w:r w:rsidRPr="00C07167">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Doti Wahyuningsih</w:t>
      </w:r>
      <w:r w:rsidRPr="00C07167">
        <w:rPr>
          <w:rFonts w:ascii="Times New Roman" w:eastAsia="Calibri" w:hAnsi="Times New Roman" w:cs="Times New Roman"/>
          <w:color w:val="000000"/>
          <w:sz w:val="20"/>
          <w:szCs w:val="20"/>
          <w:vertAlign w:val="superscript"/>
        </w:rPr>
        <w:t xml:space="preserve"> **</w:t>
      </w:r>
      <w:r w:rsidR="005577FC">
        <w:rPr>
          <w:rFonts w:ascii="Times New Roman" w:eastAsia="Calibri" w:hAnsi="Times New Roman" w:cs="Times New Roman"/>
          <w:color w:val="000000"/>
          <w:sz w:val="20"/>
          <w:szCs w:val="20"/>
        </w:rPr>
        <w:t>, Rima Zakiyah</w:t>
      </w:r>
      <w:r w:rsidR="005577FC">
        <w:rPr>
          <w:rFonts w:ascii="Times New Roman" w:eastAsia="Calibri" w:hAnsi="Times New Roman" w:cs="Times New Roman"/>
          <w:color w:val="000000"/>
          <w:sz w:val="20"/>
          <w:szCs w:val="20"/>
          <w:vertAlign w:val="superscript"/>
        </w:rPr>
        <w:t xml:space="preserve"> **</w:t>
      </w:r>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i/>
          <w:iCs/>
          <w:color w:val="000000"/>
          <w:sz w:val="20"/>
          <w:szCs w:val="20"/>
        </w:rPr>
      </w:pPr>
      <w:r>
        <w:rPr>
          <w:rFonts w:ascii="Times New Roman" w:eastAsia="Calibri" w:hAnsi="Times New Roman" w:cs="Times New Roman"/>
          <w:i/>
          <w:iCs/>
          <w:color w:val="000000"/>
          <w:sz w:val="20"/>
          <w:szCs w:val="20"/>
        </w:rPr>
        <w:t xml:space="preserve">Fakultas Kedokteran </w:t>
      </w:r>
      <w:r w:rsidRPr="00C07167">
        <w:rPr>
          <w:rFonts w:ascii="Times New Roman" w:eastAsia="Calibri" w:hAnsi="Times New Roman" w:cs="Times New Roman"/>
          <w:i/>
          <w:iCs/>
          <w:color w:val="000000"/>
          <w:sz w:val="20"/>
          <w:szCs w:val="20"/>
        </w:rPr>
        <w:t>Universitas Islam Malang</w:t>
      </w:r>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r w:rsidRPr="00C07167">
        <w:rPr>
          <w:rFonts w:ascii="Times New Roman" w:eastAsia="Calibri" w:hAnsi="Times New Roman" w:cs="Times New Roman"/>
          <w:color w:val="000000"/>
          <w:sz w:val="20"/>
          <w:szCs w:val="20"/>
        </w:rPr>
        <w:t xml:space="preserve">Email: </w:t>
      </w:r>
      <w:hyperlink r:id="rId8" w:history="1">
        <w:r w:rsidRPr="00C07167">
          <w:rPr>
            <w:rStyle w:val="Hyperlink"/>
            <w:rFonts w:ascii="Times New Roman" w:eastAsia="Calibri" w:hAnsi="Times New Roman" w:cs="Times New Roman"/>
            <w:sz w:val="20"/>
            <w:szCs w:val="20"/>
          </w:rPr>
          <w:t>rahma.auri11@gmail.com</w:t>
        </w:r>
      </w:hyperlink>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b/>
          <w:sz w:val="20"/>
          <w:szCs w:val="20"/>
          <w:u w:val="single"/>
        </w:rPr>
      </w:pPr>
      <w:r w:rsidRPr="00C07167">
        <w:rPr>
          <w:rFonts w:ascii="Times New Roman" w:eastAsia="Calibri" w:hAnsi="Times New Roman" w:cs="Times New Roman"/>
          <w:b/>
          <w:sz w:val="20"/>
          <w:szCs w:val="20"/>
          <w:u w:val="single"/>
        </w:rPr>
        <w:t>ABSTRAK</w:t>
      </w:r>
    </w:p>
    <w:p w:rsidR="00EF0C53" w:rsidRPr="00C07167" w:rsidRDefault="00EF0C53" w:rsidP="00EF0C53">
      <w:pPr>
        <w:spacing w:after="0" w:line="240" w:lineRule="auto"/>
        <w:jc w:val="both"/>
        <w:rPr>
          <w:rFonts w:ascii="Times New Roman" w:hAnsi="Times New Roman" w:cs="Times New Roman"/>
          <w:b/>
          <w:color w:val="000000" w:themeColor="text1"/>
          <w:sz w:val="20"/>
          <w:szCs w:val="20"/>
        </w:rPr>
      </w:pPr>
      <w:r w:rsidRPr="00C07167">
        <w:rPr>
          <w:rFonts w:ascii="Times New Roman" w:hAnsi="Times New Roman" w:cs="Times New Roman"/>
          <w:b/>
          <w:color w:val="000000" w:themeColor="text1"/>
          <w:sz w:val="20"/>
          <w:szCs w:val="20"/>
        </w:rPr>
        <w:t xml:space="preserve">Pendahuluan : </w:t>
      </w:r>
      <w:r>
        <w:rPr>
          <w:rFonts w:ascii="Times New Roman" w:hAnsi="Times New Roman" w:cs="Times New Roman"/>
          <w:color w:val="000000" w:themeColor="text1"/>
          <w:sz w:val="20"/>
          <w:szCs w:val="20"/>
        </w:rPr>
        <w:t>O</w:t>
      </w:r>
      <w:r w:rsidRPr="00C07167">
        <w:rPr>
          <w:rFonts w:ascii="Times New Roman" w:hAnsi="Times New Roman" w:cs="Times New Roman"/>
          <w:sz w:val="20"/>
          <w:szCs w:val="20"/>
        </w:rPr>
        <w:t>steoartritis</w:t>
      </w:r>
      <w:r>
        <w:rPr>
          <w:rFonts w:ascii="Times New Roman" w:hAnsi="Times New Roman" w:cs="Times New Roman"/>
          <w:sz w:val="20"/>
          <w:szCs w:val="20"/>
        </w:rPr>
        <w:t xml:space="preserve"> (OA)</w:t>
      </w:r>
      <w:r w:rsidRPr="00C07167">
        <w:rPr>
          <w:rFonts w:ascii="Times New Roman" w:hAnsi="Times New Roman" w:cs="Times New Roman"/>
          <w:sz w:val="20"/>
          <w:szCs w:val="20"/>
        </w:rPr>
        <w:t xml:space="preserve"> </w:t>
      </w:r>
      <w:r>
        <w:rPr>
          <w:rFonts w:ascii="Times New Roman" w:hAnsi="Times New Roman" w:cs="Times New Roman"/>
          <w:sz w:val="20"/>
          <w:szCs w:val="20"/>
        </w:rPr>
        <w:t>dapat disebabkan oleh faktor</w:t>
      </w:r>
      <w:r w:rsidRPr="00C07167">
        <w:rPr>
          <w:rFonts w:ascii="Times New Roman" w:hAnsi="Times New Roman" w:cs="Times New Roman"/>
          <w:sz w:val="20"/>
          <w:szCs w:val="20"/>
        </w:rPr>
        <w:t xml:space="preserve"> pr</w:t>
      </w:r>
      <w:r>
        <w:rPr>
          <w:rFonts w:ascii="Times New Roman" w:hAnsi="Times New Roman" w:cs="Times New Roman"/>
          <w:sz w:val="20"/>
          <w:szCs w:val="20"/>
        </w:rPr>
        <w:t>edisposisi dan biomekanik sehingga menyebabkan degradasi kartilago secara langsung. Degradasi kartilago menyebabkan peningkatan interleukin-1β (IL-1</w:t>
      </w:r>
      <w:r w:rsidRPr="00CD7068">
        <w:rPr>
          <w:rFonts w:ascii="Times New Roman" w:hAnsi="Times New Roman" w:cs="Times New Roman"/>
          <w:sz w:val="20"/>
          <w:szCs w:val="20"/>
        </w:rPr>
        <w:t xml:space="preserve"> </w:t>
      </w:r>
      <w:r>
        <w:rPr>
          <w:rFonts w:ascii="Times New Roman" w:hAnsi="Times New Roman" w:cs="Times New Roman"/>
          <w:sz w:val="20"/>
          <w:szCs w:val="20"/>
        </w:rPr>
        <w:t>β) dan leukosit sebagai tanda inflamasi. R</w:t>
      </w:r>
      <w:r w:rsidRPr="00C07167">
        <w:rPr>
          <w:rFonts w:ascii="Times New Roman" w:hAnsi="Times New Roman" w:cs="Times New Roman"/>
          <w:sz w:val="20"/>
          <w:szCs w:val="20"/>
        </w:rPr>
        <w:t>impang jahe merah dan alang-alang</w:t>
      </w:r>
      <w:r>
        <w:rPr>
          <w:rFonts w:ascii="Times New Roman" w:hAnsi="Times New Roman" w:cs="Times New Roman"/>
          <w:sz w:val="20"/>
          <w:szCs w:val="20"/>
        </w:rPr>
        <w:t xml:space="preserve"> (RJMA)</w:t>
      </w:r>
      <w:r w:rsidRPr="00C07167">
        <w:rPr>
          <w:rFonts w:ascii="Times New Roman" w:hAnsi="Times New Roman" w:cs="Times New Roman"/>
          <w:sz w:val="20"/>
          <w:szCs w:val="20"/>
        </w:rPr>
        <w:t xml:space="preserve"> </w:t>
      </w:r>
      <w:r>
        <w:rPr>
          <w:rFonts w:ascii="Times New Roman" w:hAnsi="Times New Roman" w:cs="Times New Roman"/>
          <w:sz w:val="20"/>
          <w:szCs w:val="20"/>
        </w:rPr>
        <w:t>bersifat</w:t>
      </w:r>
      <w:r w:rsidRPr="00C07167">
        <w:rPr>
          <w:rFonts w:ascii="Times New Roman" w:hAnsi="Times New Roman" w:cs="Times New Roman"/>
          <w:sz w:val="20"/>
          <w:szCs w:val="20"/>
        </w:rPr>
        <w:t xml:space="preserve"> sebagai anti</w:t>
      </w:r>
      <w:r>
        <w:rPr>
          <w:rFonts w:ascii="Times New Roman" w:hAnsi="Times New Roman" w:cs="Times New Roman"/>
          <w:sz w:val="20"/>
          <w:szCs w:val="20"/>
        </w:rPr>
        <w:t>-</w:t>
      </w:r>
      <w:r w:rsidRPr="00C07167">
        <w:rPr>
          <w:rFonts w:ascii="Times New Roman" w:hAnsi="Times New Roman" w:cs="Times New Roman"/>
          <w:sz w:val="20"/>
          <w:szCs w:val="20"/>
        </w:rPr>
        <w:t xml:space="preserve">inflamasi dan antioksidan. </w:t>
      </w:r>
      <w:r>
        <w:rPr>
          <w:rFonts w:ascii="Times New Roman" w:hAnsi="Times New Roman" w:cs="Times New Roman"/>
          <w:sz w:val="20"/>
          <w:szCs w:val="20"/>
        </w:rPr>
        <w:t xml:space="preserve">Kedua herbal tersebut digunakan sebagai pengobatan tunggal  untuk berbagai penyakit. Penelitian ini mempelajari potensi </w:t>
      </w:r>
      <w:r w:rsidRPr="00C07167">
        <w:rPr>
          <w:rFonts w:ascii="Times New Roman" w:hAnsi="Times New Roman" w:cs="Times New Roman"/>
          <w:sz w:val="20"/>
          <w:szCs w:val="20"/>
        </w:rPr>
        <w:t>kombinasi kedua herbal tersebut untuk pengobatan OA melalui</w:t>
      </w:r>
      <w:r>
        <w:rPr>
          <w:rFonts w:ascii="Times New Roman" w:hAnsi="Times New Roman" w:cs="Times New Roman"/>
          <w:sz w:val="20"/>
          <w:szCs w:val="20"/>
        </w:rPr>
        <w:t xml:space="preserve"> penurunan </w:t>
      </w:r>
      <w:r w:rsidRPr="00C07167">
        <w:rPr>
          <w:rFonts w:ascii="Times New Roman" w:hAnsi="Times New Roman" w:cs="Times New Roman"/>
          <w:sz w:val="20"/>
          <w:szCs w:val="20"/>
        </w:rPr>
        <w:t xml:space="preserve">IL-1β dan jumlah leukosit tikus. </w:t>
      </w:r>
    </w:p>
    <w:p w:rsidR="00EF0C53" w:rsidRPr="00C07167" w:rsidRDefault="00EF0C53" w:rsidP="00EF0C53">
      <w:pPr>
        <w:spacing w:after="0" w:line="240" w:lineRule="auto"/>
        <w:jc w:val="both"/>
        <w:rPr>
          <w:rFonts w:ascii="Times New Roman" w:eastAsia="Times New Roman" w:hAnsi="Times New Roman" w:cs="Times New Roman"/>
          <w:sz w:val="20"/>
          <w:szCs w:val="20"/>
          <w:lang w:eastAsia="id-ID"/>
        </w:rPr>
      </w:pPr>
      <w:r w:rsidRPr="00C07167">
        <w:rPr>
          <w:rFonts w:ascii="Times New Roman" w:hAnsi="Times New Roman" w:cs="Times New Roman"/>
          <w:b/>
          <w:color w:val="000000" w:themeColor="text1"/>
          <w:sz w:val="20"/>
          <w:szCs w:val="20"/>
        </w:rPr>
        <w:t xml:space="preserve">Metode : </w:t>
      </w:r>
      <w:r>
        <w:rPr>
          <w:rFonts w:ascii="Times New Roman" w:hAnsi="Times New Roman" w:cs="Times New Roman"/>
          <w:color w:val="000000" w:themeColor="text1"/>
          <w:sz w:val="20"/>
          <w:szCs w:val="20"/>
        </w:rPr>
        <w:t xml:space="preserve">25 ekor tikus wistar, berat 270-300g </w:t>
      </w:r>
      <w:r w:rsidRPr="00C07167">
        <w:rPr>
          <w:rFonts w:ascii="Times New Roman" w:hAnsi="Times New Roman" w:cs="Times New Roman"/>
          <w:color w:val="000000" w:themeColor="text1"/>
          <w:sz w:val="20"/>
          <w:szCs w:val="20"/>
        </w:rPr>
        <w:t xml:space="preserve">a dikelompokkan menjadi </w:t>
      </w:r>
      <w:r>
        <w:rPr>
          <w:rFonts w:ascii="Times New Roman" w:hAnsi="Times New Roman" w:cs="Times New Roman"/>
          <w:color w:val="000000" w:themeColor="text1"/>
          <w:sz w:val="20"/>
          <w:szCs w:val="20"/>
        </w:rPr>
        <w:t xml:space="preserve">lima kelompok yaitu; </w:t>
      </w:r>
      <w:r w:rsidRPr="00C07167">
        <w:rPr>
          <w:rFonts w:ascii="Times New Roman" w:hAnsi="Times New Roman" w:cs="Times New Roman"/>
          <w:color w:val="000000" w:themeColor="text1"/>
          <w:sz w:val="20"/>
          <w:szCs w:val="20"/>
        </w:rPr>
        <w:t>kontrol negatif</w:t>
      </w:r>
      <w:r>
        <w:rPr>
          <w:rFonts w:ascii="Times New Roman" w:hAnsi="Times New Roman" w:cs="Times New Roman"/>
          <w:color w:val="000000" w:themeColor="text1"/>
          <w:sz w:val="20"/>
          <w:szCs w:val="20"/>
        </w:rPr>
        <w:t xml:space="preserve"> (KN)</w:t>
      </w:r>
      <w:r w:rsidRPr="00C07167">
        <w:rPr>
          <w:rFonts w:ascii="Times New Roman" w:hAnsi="Times New Roman" w:cs="Times New Roman"/>
          <w:color w:val="000000" w:themeColor="text1"/>
          <w:sz w:val="20"/>
          <w:szCs w:val="20"/>
        </w:rPr>
        <w:t>, kontrol positif</w:t>
      </w:r>
      <w:r>
        <w:rPr>
          <w:rFonts w:ascii="Times New Roman" w:hAnsi="Times New Roman" w:cs="Times New Roman"/>
          <w:color w:val="000000" w:themeColor="text1"/>
          <w:sz w:val="20"/>
          <w:szCs w:val="20"/>
        </w:rPr>
        <w:t xml:space="preserve"> (KP)</w:t>
      </w:r>
      <w:r w:rsidRPr="00C0716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kelompok perlakuan 1 (P1), perlakuan 2 (P2), dan perlakuan 3 (P3)</w:t>
      </w:r>
      <w:r w:rsidRPr="00C07167">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Empat kelompok OA dii</w:t>
      </w:r>
      <w:r w:rsidRPr="00C07167">
        <w:rPr>
          <w:rFonts w:ascii="Times New Roman" w:hAnsi="Times New Roman" w:cs="Times New Roman"/>
          <w:color w:val="000000" w:themeColor="text1"/>
          <w:sz w:val="20"/>
          <w:szCs w:val="20"/>
        </w:rPr>
        <w:t xml:space="preserve">njeksi </w:t>
      </w:r>
      <w:r>
        <w:rPr>
          <w:rFonts w:ascii="Times New Roman" w:hAnsi="Times New Roman" w:cs="Times New Roman"/>
          <w:color w:val="000000" w:themeColor="text1"/>
          <w:sz w:val="20"/>
          <w:szCs w:val="20"/>
        </w:rPr>
        <w:t xml:space="preserve">0,1ml </w:t>
      </w:r>
      <w:r>
        <w:rPr>
          <w:rFonts w:ascii="Times New Roman" w:hAnsi="Times New Roman" w:cs="Times New Roman"/>
          <w:i/>
          <w:color w:val="000000" w:themeColor="text1"/>
          <w:sz w:val="20"/>
          <w:szCs w:val="20"/>
        </w:rPr>
        <w:t xml:space="preserve">Complete Freund’s Adjuvant </w:t>
      </w:r>
      <w:r>
        <w:rPr>
          <w:rFonts w:ascii="Times New Roman" w:hAnsi="Times New Roman" w:cs="Times New Roman"/>
          <w:color w:val="000000" w:themeColor="text1"/>
          <w:sz w:val="20"/>
          <w:szCs w:val="20"/>
        </w:rPr>
        <w:t>(</w:t>
      </w:r>
      <w:r w:rsidRPr="00C07167">
        <w:rPr>
          <w:rFonts w:ascii="Times New Roman" w:hAnsi="Times New Roman" w:cs="Times New Roman"/>
          <w:color w:val="000000" w:themeColor="text1"/>
          <w:sz w:val="20"/>
          <w:szCs w:val="20"/>
        </w:rPr>
        <w:t>CFA</w:t>
      </w:r>
      <w:r>
        <w:rPr>
          <w:rFonts w:ascii="Times New Roman" w:hAnsi="Times New Roman" w:cs="Times New Roman"/>
          <w:color w:val="000000" w:themeColor="text1"/>
          <w:sz w:val="20"/>
          <w:szCs w:val="20"/>
        </w:rPr>
        <w:t>)</w:t>
      </w:r>
      <w:r w:rsidRPr="00C0716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secara</w:t>
      </w:r>
      <w:r w:rsidRPr="00C07167">
        <w:rPr>
          <w:rFonts w:ascii="Times New Roman" w:hAnsi="Times New Roman" w:cs="Times New Roman"/>
          <w:color w:val="000000" w:themeColor="text1"/>
          <w:sz w:val="20"/>
          <w:szCs w:val="20"/>
        </w:rPr>
        <w:t xml:space="preserve"> intraartikular lurut kanan.</w:t>
      </w:r>
      <w:r>
        <w:rPr>
          <w:rFonts w:ascii="Times New Roman" w:hAnsi="Times New Roman" w:cs="Times New Roman"/>
          <w:color w:val="000000" w:themeColor="text1"/>
          <w:sz w:val="20"/>
          <w:szCs w:val="20"/>
        </w:rPr>
        <w:t xml:space="preserve"> K</w:t>
      </w:r>
      <w:r w:rsidRPr="00C07167">
        <w:rPr>
          <w:rFonts w:ascii="Times New Roman" w:eastAsia="Calibri" w:hAnsi="Times New Roman" w:cs="Times New Roman"/>
          <w:iCs/>
          <w:color w:val="000000"/>
          <w:sz w:val="20"/>
          <w:szCs w:val="20"/>
        </w:rPr>
        <w:t xml:space="preserve">ombinasi dekokta </w:t>
      </w:r>
      <w:r>
        <w:rPr>
          <w:rFonts w:ascii="Times New Roman" w:eastAsia="Calibri" w:hAnsi="Times New Roman" w:cs="Times New Roman"/>
          <w:iCs/>
          <w:color w:val="000000"/>
          <w:sz w:val="20"/>
          <w:szCs w:val="20"/>
        </w:rPr>
        <w:t>(RJMA) diberikan pada tiga kelompok OA dengan dosis  9+40mg/hari (P1), 18+40mg/hari (P2), dan 36+40mg/hari (P3) selama 10 hari. Pemberian kombinasi dekokta RJMA diberikan 10 hari setelah injeksi CFA. IL-1β serum diukur</w:t>
      </w:r>
      <w:r w:rsidRPr="00C07167">
        <w:rPr>
          <w:rFonts w:ascii="Times New Roman" w:eastAsia="Calibri" w:hAnsi="Times New Roman" w:cs="Times New Roman"/>
          <w:iCs/>
          <w:color w:val="000000"/>
          <w:sz w:val="20"/>
          <w:szCs w:val="20"/>
        </w:rPr>
        <w:t xml:space="preserve"> menggunakan </w:t>
      </w:r>
      <w:r w:rsidRPr="001836C8">
        <w:rPr>
          <w:rFonts w:ascii="Times New Roman" w:hAnsi="Times New Roman" w:cs="Times New Roman"/>
          <w:i/>
          <w:sz w:val="20"/>
          <w:szCs w:val="20"/>
        </w:rPr>
        <w:t>IL-1</w:t>
      </w:r>
      <w:r w:rsidRPr="001836C8">
        <w:rPr>
          <w:rFonts w:ascii="Times New Roman" w:eastAsia="Calibri" w:hAnsi="Times New Roman" w:cs="Times New Roman"/>
          <w:i/>
          <w:iCs/>
          <w:color w:val="000000"/>
          <w:sz w:val="20"/>
          <w:szCs w:val="20"/>
        </w:rPr>
        <w:t>β</w:t>
      </w:r>
      <w:r w:rsidRPr="00C07167">
        <w:rPr>
          <w:rFonts w:ascii="Times New Roman" w:hAnsi="Times New Roman" w:cs="Times New Roman"/>
          <w:i/>
          <w:sz w:val="20"/>
          <w:szCs w:val="20"/>
        </w:rPr>
        <w:t xml:space="preserve"> Assay Kit, </w:t>
      </w:r>
      <w:r w:rsidRPr="00C07167">
        <w:rPr>
          <w:rFonts w:ascii="Times New Roman" w:hAnsi="Times New Roman" w:cs="Times New Roman"/>
          <w:sz w:val="20"/>
          <w:szCs w:val="20"/>
        </w:rPr>
        <w:t xml:space="preserve">dan jumlah leukosit diukur menggunakan </w:t>
      </w:r>
      <w:r>
        <w:rPr>
          <w:rFonts w:ascii="Times New Roman" w:hAnsi="Times New Roman" w:cs="Times New Roman"/>
          <w:i/>
          <w:sz w:val="20"/>
          <w:szCs w:val="20"/>
        </w:rPr>
        <w:t>hematologyanalyzer.</w:t>
      </w:r>
      <w:r w:rsidRPr="00C07167">
        <w:rPr>
          <w:rFonts w:ascii="Times New Roman" w:hAnsi="Times New Roman" w:cs="Times New Roman"/>
          <w:i/>
          <w:sz w:val="20"/>
          <w:szCs w:val="20"/>
        </w:rPr>
        <w:t xml:space="preserve"> </w:t>
      </w:r>
      <w:r>
        <w:rPr>
          <w:rFonts w:ascii="Times New Roman" w:hAnsi="Times New Roman" w:cs="Times New Roman"/>
          <w:sz w:val="20"/>
          <w:szCs w:val="20"/>
        </w:rPr>
        <w:t>Analisa data menggunakan</w:t>
      </w:r>
      <w:r w:rsidRPr="00C07167">
        <w:rPr>
          <w:rFonts w:ascii="Times New Roman" w:hAnsi="Times New Roman" w:cs="Times New Roman"/>
          <w:sz w:val="20"/>
          <w:szCs w:val="20"/>
        </w:rPr>
        <w:t xml:space="preserve"> uji </w:t>
      </w:r>
      <w:r w:rsidRPr="00C07167">
        <w:rPr>
          <w:rFonts w:ascii="Times New Roman" w:hAnsi="Times New Roman" w:cs="Times New Roman"/>
          <w:i/>
          <w:sz w:val="20"/>
          <w:szCs w:val="20"/>
        </w:rPr>
        <w:t>One Way Anova</w:t>
      </w:r>
      <w:r w:rsidRPr="00C07167">
        <w:rPr>
          <w:rFonts w:ascii="Times New Roman" w:hAnsi="Times New Roman" w:cs="Times New Roman"/>
          <w:sz w:val="20"/>
          <w:szCs w:val="20"/>
        </w:rPr>
        <w:t xml:space="preserve"> </w:t>
      </w:r>
      <w:r>
        <w:rPr>
          <w:rFonts w:ascii="Times New Roman" w:hAnsi="Times New Roman" w:cs="Times New Roman"/>
          <w:sz w:val="20"/>
          <w:szCs w:val="20"/>
        </w:rPr>
        <w:t xml:space="preserve"> dilanjutkan uji </w:t>
      </w:r>
      <w:r>
        <w:rPr>
          <w:rFonts w:ascii="Times New Roman" w:hAnsi="Times New Roman" w:cs="Times New Roman"/>
          <w:i/>
          <w:sz w:val="20"/>
          <w:szCs w:val="20"/>
        </w:rPr>
        <w:t>post hoc</w:t>
      </w:r>
      <w:r>
        <w:rPr>
          <w:rFonts w:ascii="Times New Roman" w:hAnsi="Times New Roman" w:cs="Times New Roman"/>
          <w:sz w:val="20"/>
          <w:szCs w:val="20"/>
        </w:rPr>
        <w:t>. p&lt;0,05 menunjukkan hasil signifikan.</w:t>
      </w:r>
    </w:p>
    <w:p w:rsidR="00EF0C53" w:rsidRPr="00580DD7" w:rsidRDefault="00EF0C53" w:rsidP="00EF0C53">
      <w:pPr>
        <w:spacing w:after="0" w:line="240" w:lineRule="auto"/>
        <w:jc w:val="both"/>
        <w:rPr>
          <w:rFonts w:ascii="Times New Roman" w:hAnsi="Times New Roman" w:cs="Times New Roman"/>
          <w:color w:val="000000" w:themeColor="text1"/>
          <w:sz w:val="20"/>
          <w:szCs w:val="20"/>
        </w:rPr>
      </w:pPr>
      <w:r w:rsidRPr="00C07167">
        <w:rPr>
          <w:rFonts w:ascii="Times New Roman" w:hAnsi="Times New Roman" w:cs="Times New Roman"/>
          <w:b/>
          <w:color w:val="000000" w:themeColor="text1"/>
          <w:sz w:val="20"/>
          <w:szCs w:val="20"/>
        </w:rPr>
        <w:t xml:space="preserve">Hasil : </w:t>
      </w:r>
      <w:r>
        <w:rPr>
          <w:rFonts w:ascii="Times New Roman" w:hAnsi="Times New Roman" w:cs="Times New Roman"/>
          <w:color w:val="000000" w:themeColor="text1"/>
          <w:sz w:val="20"/>
          <w:szCs w:val="20"/>
        </w:rPr>
        <w:t xml:space="preserve">Pemberian dosis kombinasi dekokta rimpang RJMA </w:t>
      </w:r>
      <w:r w:rsidRPr="00C07167">
        <w:rPr>
          <w:rFonts w:ascii="Times New Roman" w:hAnsi="Times New Roman" w:cs="Times New Roman"/>
          <w:color w:val="000000" w:themeColor="text1"/>
          <w:sz w:val="20"/>
          <w:szCs w:val="20"/>
        </w:rPr>
        <w:t xml:space="preserve">mampu meneurunkan </w:t>
      </w:r>
      <w:r w:rsidRPr="00C07167">
        <w:rPr>
          <w:rFonts w:ascii="Times New Roman" w:eastAsia="Calibri" w:hAnsi="Times New Roman" w:cs="Times New Roman"/>
          <w:iCs/>
          <w:color w:val="000000"/>
          <w:sz w:val="20"/>
          <w:szCs w:val="20"/>
        </w:rPr>
        <w:t>IL-1β serum</w:t>
      </w:r>
      <w:r>
        <w:rPr>
          <w:rFonts w:ascii="Times New Roman" w:eastAsia="Calibri" w:hAnsi="Times New Roman" w:cs="Times New Roman"/>
          <w:iCs/>
          <w:color w:val="000000"/>
          <w:sz w:val="20"/>
          <w:szCs w:val="20"/>
        </w:rPr>
        <w:t xml:space="preserve"> dan jumlah leukosit (p&lt;0</w:t>
      </w:r>
      <w:r w:rsidRPr="00C07167">
        <w:rPr>
          <w:rFonts w:ascii="Times New Roman" w:eastAsia="Calibri" w:hAnsi="Times New Roman" w:cs="Times New Roman"/>
          <w:iCs/>
          <w:color w:val="000000"/>
          <w:sz w:val="20"/>
          <w:szCs w:val="20"/>
        </w:rPr>
        <w:t>,05)</w:t>
      </w:r>
      <w:r>
        <w:rPr>
          <w:rFonts w:ascii="Times New Roman" w:eastAsia="Calibri" w:hAnsi="Times New Roman" w:cs="Times New Roman"/>
          <w:iCs/>
          <w:color w:val="000000"/>
          <w:sz w:val="20"/>
          <w:szCs w:val="20"/>
        </w:rPr>
        <w:t>.</w:t>
      </w:r>
      <w:r>
        <w:rPr>
          <w:rFonts w:ascii="Times New Roman" w:hAnsi="Times New Roman" w:cs="Times New Roman"/>
          <w:b/>
          <w:sz w:val="24"/>
          <w:szCs w:val="24"/>
        </w:rPr>
        <w:t xml:space="preserve"> </w:t>
      </w:r>
      <w:r w:rsidRPr="00580DD7">
        <w:rPr>
          <w:rFonts w:ascii="Times New Roman" w:hAnsi="Times New Roman" w:cs="Times New Roman"/>
          <w:sz w:val="20"/>
          <w:szCs w:val="20"/>
        </w:rPr>
        <w:t>Uji korelasi antara kadar IL-1β</w:t>
      </w:r>
      <w:r w:rsidRPr="00580DD7">
        <w:rPr>
          <w:rFonts w:ascii="Times New Roman" w:hAnsi="Times New Roman" w:cs="Times New Roman"/>
          <w:b/>
          <w:sz w:val="20"/>
          <w:szCs w:val="20"/>
        </w:rPr>
        <w:t xml:space="preserve"> </w:t>
      </w:r>
      <w:r>
        <w:rPr>
          <w:rFonts w:ascii="Times New Roman" w:hAnsi="Times New Roman" w:cs="Times New Roman"/>
          <w:sz w:val="20"/>
          <w:szCs w:val="20"/>
        </w:rPr>
        <w:t>dan</w:t>
      </w:r>
      <w:r w:rsidRPr="00580DD7">
        <w:rPr>
          <w:rFonts w:ascii="Times New Roman" w:hAnsi="Times New Roman" w:cs="Times New Roman"/>
          <w:sz w:val="20"/>
          <w:szCs w:val="20"/>
        </w:rPr>
        <w:t xml:space="preserve"> jumlah leukosit tikus menunjukkan korelasi positif yang signifikan (p&lt;0,05).</w:t>
      </w:r>
      <w:r>
        <w:rPr>
          <w:rFonts w:ascii="Times New Roman" w:hAnsi="Times New Roman" w:cs="Times New Roman"/>
          <w:sz w:val="20"/>
          <w:szCs w:val="20"/>
        </w:rPr>
        <w:t xml:space="preserve">  Dosis efektif  yaitu 36+40mg/hari. Dosis tersebut mampu menurunkan hingga mendekati KN (p&lt;0,05)</w:t>
      </w:r>
    </w:p>
    <w:p w:rsidR="00EF0C53" w:rsidRPr="00C07167" w:rsidRDefault="00EF0C53" w:rsidP="00EF0C53">
      <w:pPr>
        <w:tabs>
          <w:tab w:val="right" w:pos="7937"/>
        </w:tabs>
        <w:spacing w:after="0" w:line="240"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S</w:t>
      </w:r>
      <w:r w:rsidRPr="00C07167">
        <w:rPr>
          <w:rFonts w:ascii="Times New Roman" w:hAnsi="Times New Roman" w:cs="Times New Roman"/>
          <w:b/>
          <w:color w:val="000000" w:themeColor="text1"/>
          <w:sz w:val="20"/>
          <w:szCs w:val="20"/>
        </w:rPr>
        <w:t xml:space="preserve">impulan : </w:t>
      </w:r>
      <w:r>
        <w:rPr>
          <w:rFonts w:ascii="Times New Roman" w:hAnsi="Times New Roman" w:cs="Times New Roman"/>
          <w:color w:val="000000" w:themeColor="text1"/>
          <w:sz w:val="20"/>
          <w:szCs w:val="20"/>
        </w:rPr>
        <w:t>Kombinasi dekokta R</w:t>
      </w:r>
      <w:r w:rsidRPr="00C07167">
        <w:rPr>
          <w:rFonts w:ascii="Times New Roman" w:hAnsi="Times New Roman" w:cs="Times New Roman"/>
          <w:color w:val="000000" w:themeColor="text1"/>
          <w:sz w:val="20"/>
          <w:szCs w:val="20"/>
        </w:rPr>
        <w:t xml:space="preserve">JMA pada P1,P2, dan P3 mampu menurunkan </w:t>
      </w:r>
      <w:r w:rsidRPr="00C07167">
        <w:rPr>
          <w:rFonts w:ascii="Times New Roman" w:eastAsia="Calibri" w:hAnsi="Times New Roman" w:cs="Times New Roman"/>
          <w:iCs/>
          <w:color w:val="000000"/>
          <w:sz w:val="20"/>
          <w:szCs w:val="20"/>
        </w:rPr>
        <w:t xml:space="preserve">IL-1β serum dan jumlah leukosit </w:t>
      </w:r>
      <w:r>
        <w:rPr>
          <w:rFonts w:ascii="Times New Roman" w:eastAsia="Calibri" w:hAnsi="Times New Roman" w:cs="Times New Roman"/>
          <w:iCs/>
          <w:color w:val="000000"/>
          <w:sz w:val="20"/>
          <w:szCs w:val="20"/>
        </w:rPr>
        <w:t xml:space="preserve">pada </w:t>
      </w:r>
      <w:r w:rsidRPr="00C07167">
        <w:rPr>
          <w:rFonts w:ascii="Times New Roman" w:eastAsia="Calibri" w:hAnsi="Times New Roman" w:cs="Times New Roman"/>
          <w:iCs/>
          <w:color w:val="000000"/>
          <w:sz w:val="20"/>
          <w:szCs w:val="20"/>
        </w:rPr>
        <w:t xml:space="preserve">tikus karena induksi CFA. </w:t>
      </w:r>
    </w:p>
    <w:p w:rsidR="00EF0C53" w:rsidRPr="00C07167" w:rsidRDefault="00EF0C53" w:rsidP="00EF0C53">
      <w:pPr>
        <w:spacing w:after="0" w:line="240" w:lineRule="auto"/>
        <w:jc w:val="both"/>
        <w:rPr>
          <w:rFonts w:ascii="Times New Roman" w:hAnsi="Times New Roman" w:cs="Times New Roman"/>
          <w:sz w:val="20"/>
          <w:szCs w:val="20"/>
        </w:rPr>
      </w:pPr>
    </w:p>
    <w:p w:rsidR="00EF0C53" w:rsidRDefault="00EF0C53" w:rsidP="00EF0C53">
      <w:pPr>
        <w:spacing w:after="0" w:line="240" w:lineRule="auto"/>
        <w:jc w:val="both"/>
        <w:rPr>
          <w:rFonts w:ascii="Times New Roman" w:eastAsia="Calibri" w:hAnsi="Times New Roman" w:cs="Times New Roman"/>
          <w:iCs/>
          <w:color w:val="000000"/>
          <w:sz w:val="20"/>
          <w:szCs w:val="20"/>
        </w:rPr>
      </w:pPr>
      <w:r w:rsidRPr="00C07167">
        <w:rPr>
          <w:rFonts w:ascii="Times New Roman" w:hAnsi="Times New Roman" w:cs="Times New Roman"/>
          <w:b/>
          <w:sz w:val="20"/>
          <w:szCs w:val="20"/>
        </w:rPr>
        <w:t>Kata kunci</w:t>
      </w:r>
      <w:r>
        <w:rPr>
          <w:rFonts w:ascii="Times New Roman" w:hAnsi="Times New Roman" w:cs="Times New Roman"/>
          <w:b/>
          <w:sz w:val="20"/>
          <w:szCs w:val="20"/>
        </w:rPr>
        <w:t xml:space="preserve"> : </w:t>
      </w:r>
      <w:r w:rsidRPr="00580DD7">
        <w:rPr>
          <w:rFonts w:ascii="Times New Roman" w:hAnsi="Times New Roman" w:cs="Times New Roman"/>
          <w:i/>
          <w:sz w:val="20"/>
          <w:szCs w:val="20"/>
        </w:rPr>
        <w:t>Osteoartritis, Kombinasi Dekokta Rimp</w:t>
      </w:r>
      <w:r>
        <w:rPr>
          <w:rFonts w:ascii="Times New Roman" w:hAnsi="Times New Roman" w:cs="Times New Roman"/>
          <w:i/>
          <w:sz w:val="20"/>
          <w:szCs w:val="20"/>
        </w:rPr>
        <w:t>ang Jahe Merah dan Alang-Alang, Interleukin-1β</w:t>
      </w:r>
      <w:r w:rsidRPr="00580DD7">
        <w:rPr>
          <w:rFonts w:ascii="Times New Roman" w:eastAsia="Calibri" w:hAnsi="Times New Roman" w:cs="Times New Roman"/>
          <w:i/>
          <w:iCs/>
          <w:color w:val="000000"/>
          <w:sz w:val="20"/>
          <w:szCs w:val="20"/>
        </w:rPr>
        <w:t xml:space="preserve">, Leukosit. </w:t>
      </w:r>
    </w:p>
    <w:p w:rsidR="00EF0C53" w:rsidRDefault="00EF0C53" w:rsidP="00EF0C53">
      <w:pPr>
        <w:spacing w:after="0" w:line="240" w:lineRule="auto"/>
        <w:jc w:val="both"/>
        <w:rPr>
          <w:rFonts w:ascii="Times New Roman" w:eastAsia="Calibri" w:hAnsi="Times New Roman" w:cs="Times New Roman"/>
          <w:iCs/>
          <w:color w:val="000000"/>
          <w:sz w:val="20"/>
          <w:szCs w:val="20"/>
        </w:rPr>
      </w:pPr>
    </w:p>
    <w:p w:rsidR="00EF0C53" w:rsidRDefault="00EF0C53" w:rsidP="00EF0C53">
      <w:pPr>
        <w:spacing w:after="0" w:line="240" w:lineRule="auto"/>
        <w:jc w:val="center"/>
        <w:rPr>
          <w:rFonts w:ascii="Times New Roman" w:hAnsi="Times New Roman" w:cs="Times New Roman"/>
          <w:b/>
          <w:color w:val="000000" w:themeColor="text1"/>
          <w:sz w:val="24"/>
          <w:szCs w:val="24"/>
        </w:rPr>
      </w:pPr>
      <w:r w:rsidRPr="00802868">
        <w:rPr>
          <w:rFonts w:ascii="Times New Roman" w:eastAsia="Calibri" w:hAnsi="Times New Roman" w:cs="Times New Roman"/>
          <w:b/>
          <w:iCs/>
          <w:color w:val="000000"/>
          <w:sz w:val="24"/>
          <w:szCs w:val="24"/>
        </w:rPr>
        <w:t>The Combination Effect Of Decoction Red Ginger’s  Rhizome (</w:t>
      </w:r>
      <w:r w:rsidRPr="00802868">
        <w:rPr>
          <w:rFonts w:ascii="Times New Roman" w:eastAsia="Calibri" w:hAnsi="Times New Roman" w:cs="Times New Roman"/>
          <w:b/>
          <w:i/>
          <w:iCs/>
          <w:color w:val="000000"/>
          <w:sz w:val="24"/>
          <w:szCs w:val="24"/>
        </w:rPr>
        <w:t>Zingiber Ooficinale)</w:t>
      </w:r>
      <w:r w:rsidRPr="00802868">
        <w:rPr>
          <w:rFonts w:ascii="Times New Roman" w:eastAsia="Calibri" w:hAnsi="Times New Roman" w:cs="Times New Roman"/>
          <w:b/>
          <w:iCs/>
          <w:color w:val="000000"/>
          <w:sz w:val="24"/>
          <w:szCs w:val="24"/>
        </w:rPr>
        <w:t xml:space="preserve"> And Cogon Grass (</w:t>
      </w:r>
      <w:r w:rsidRPr="00802868">
        <w:rPr>
          <w:rFonts w:ascii="Times New Roman" w:eastAsia="Calibri" w:hAnsi="Times New Roman" w:cs="Times New Roman"/>
          <w:b/>
          <w:i/>
          <w:iCs/>
          <w:color w:val="000000"/>
          <w:sz w:val="24"/>
          <w:szCs w:val="24"/>
        </w:rPr>
        <w:t>Imperata Cylindrica</w:t>
      </w:r>
      <w:r w:rsidRPr="00802868">
        <w:rPr>
          <w:rFonts w:ascii="Times New Roman" w:eastAsia="Calibri" w:hAnsi="Times New Roman" w:cs="Times New Roman"/>
          <w:b/>
          <w:iCs/>
          <w:color w:val="000000"/>
          <w:sz w:val="24"/>
          <w:szCs w:val="24"/>
        </w:rPr>
        <w:t xml:space="preserve">) Toward Decreased </w:t>
      </w:r>
      <w:r>
        <w:rPr>
          <w:rFonts w:ascii="Times New Roman" w:hAnsi="Times New Roman" w:cs="Times New Roman"/>
          <w:b/>
          <w:color w:val="000000" w:themeColor="text1"/>
          <w:sz w:val="24"/>
          <w:szCs w:val="24"/>
        </w:rPr>
        <w:t>Interleukin-1β</w:t>
      </w:r>
      <w:r w:rsidRPr="00802868">
        <w:rPr>
          <w:rFonts w:ascii="Times New Roman" w:eastAsia="Calibri" w:hAnsi="Times New Roman" w:cs="Times New Roman"/>
          <w:b/>
          <w:iCs/>
          <w:color w:val="000000"/>
          <w:sz w:val="24"/>
          <w:szCs w:val="24"/>
        </w:rPr>
        <w:t xml:space="preserve"> Serum And Leukocyte </w:t>
      </w:r>
      <w:r w:rsidRPr="00802868">
        <w:rPr>
          <w:rFonts w:ascii="Times New Roman" w:eastAsia="Calibri" w:hAnsi="Times New Roman" w:cs="Arial"/>
          <w:b/>
          <w:sz w:val="24"/>
          <w:szCs w:val="24"/>
          <w:lang w:eastAsia="id-ID"/>
        </w:rPr>
        <w:t xml:space="preserve">Of Male Rats Induced With </w:t>
      </w:r>
      <w:r w:rsidRPr="00802868">
        <w:rPr>
          <w:rFonts w:ascii="Times New Roman" w:hAnsi="Times New Roman" w:cs="Times New Roman"/>
          <w:b/>
          <w:color w:val="000000" w:themeColor="text1"/>
          <w:sz w:val="24"/>
          <w:szCs w:val="24"/>
        </w:rPr>
        <w:t>Complete Freund’s Adjuvant</w:t>
      </w:r>
    </w:p>
    <w:p w:rsidR="00EF0C53" w:rsidRPr="00C07167" w:rsidRDefault="00EF0C53" w:rsidP="00EF0C53">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C07167">
        <w:rPr>
          <w:rFonts w:ascii="Times New Roman" w:eastAsia="Calibri" w:hAnsi="Times New Roman" w:cs="Times New Roman"/>
          <w:color w:val="000000"/>
          <w:sz w:val="20"/>
          <w:szCs w:val="20"/>
        </w:rPr>
        <w:t>Rahma Auri Wijayanti</w:t>
      </w:r>
      <w:r w:rsidRPr="00C07167">
        <w:rPr>
          <w:rFonts w:ascii="Times New Roman" w:eastAsia="Calibri" w:hAnsi="Times New Roman" w:cs="Times New Roman"/>
          <w:color w:val="000000"/>
          <w:sz w:val="20"/>
          <w:szCs w:val="20"/>
          <w:vertAlign w:val="superscript"/>
        </w:rPr>
        <w:t>*</w:t>
      </w:r>
      <w:r>
        <w:rPr>
          <w:rFonts w:ascii="Times New Roman" w:eastAsia="Calibri" w:hAnsi="Times New Roman" w:cs="Times New Roman"/>
          <w:color w:val="000000"/>
          <w:sz w:val="20"/>
          <w:szCs w:val="20"/>
        </w:rPr>
        <w:t>Doti Wahyuningsih</w:t>
      </w:r>
      <w:r w:rsidRPr="00C07167">
        <w:rPr>
          <w:rFonts w:ascii="Times New Roman" w:eastAsia="Calibri" w:hAnsi="Times New Roman" w:cs="Times New Roman"/>
          <w:color w:val="000000"/>
          <w:sz w:val="20"/>
          <w:szCs w:val="20"/>
          <w:vertAlign w:val="superscript"/>
        </w:rPr>
        <w:t xml:space="preserve"> **</w:t>
      </w:r>
      <w:r w:rsidR="005577FC" w:rsidRPr="00C07167">
        <w:rPr>
          <w:rFonts w:ascii="Times New Roman" w:eastAsia="Calibri" w:hAnsi="Times New Roman" w:cs="Times New Roman"/>
          <w:color w:val="000000"/>
          <w:sz w:val="20"/>
          <w:szCs w:val="20"/>
        </w:rPr>
        <w:t xml:space="preserve">, </w:t>
      </w:r>
      <w:r w:rsidR="005577FC">
        <w:rPr>
          <w:rFonts w:ascii="Times New Roman" w:eastAsia="Calibri" w:hAnsi="Times New Roman" w:cs="Times New Roman"/>
          <w:color w:val="000000"/>
          <w:sz w:val="20"/>
          <w:szCs w:val="20"/>
        </w:rPr>
        <w:t>Rima Zakiyah</w:t>
      </w:r>
      <w:r w:rsidR="005577FC">
        <w:rPr>
          <w:rFonts w:ascii="Times New Roman" w:eastAsia="Calibri" w:hAnsi="Times New Roman" w:cs="Times New Roman"/>
          <w:color w:val="000000"/>
          <w:sz w:val="20"/>
          <w:szCs w:val="20"/>
          <w:vertAlign w:val="superscript"/>
        </w:rPr>
        <w:t xml:space="preserve"> **</w:t>
      </w:r>
    </w:p>
    <w:p w:rsidR="00EF0C53" w:rsidRPr="00C91291" w:rsidRDefault="00EF0C53" w:rsidP="00EF0C53">
      <w:pPr>
        <w:widowControl w:val="0"/>
        <w:autoSpaceDE w:val="0"/>
        <w:autoSpaceDN w:val="0"/>
        <w:adjustRightInd w:val="0"/>
        <w:spacing w:after="0" w:line="240" w:lineRule="auto"/>
        <w:jc w:val="center"/>
        <w:rPr>
          <w:rFonts w:ascii="Times New Roman" w:eastAsia="Calibri" w:hAnsi="Times New Roman" w:cs="Times New Roman"/>
          <w:i/>
          <w:iCs/>
          <w:color w:val="000000"/>
          <w:sz w:val="20"/>
          <w:szCs w:val="20"/>
        </w:rPr>
      </w:pPr>
      <w:r>
        <w:rPr>
          <w:rFonts w:ascii="Times New Roman" w:eastAsia="Calibri" w:hAnsi="Times New Roman" w:cs="Times New Roman"/>
          <w:i/>
          <w:iCs/>
          <w:color w:val="000000"/>
          <w:sz w:val="20"/>
          <w:szCs w:val="20"/>
        </w:rPr>
        <w:t>Faculty of Medicine University of Islam Malang</w:t>
      </w:r>
    </w:p>
    <w:p w:rsidR="00EF0C53" w:rsidRPr="00491535" w:rsidRDefault="00EF0C53" w:rsidP="00EF0C53">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r w:rsidRPr="00C91291">
        <w:rPr>
          <w:rFonts w:ascii="Times New Roman" w:eastAsia="Calibri" w:hAnsi="Times New Roman" w:cs="Times New Roman"/>
          <w:color w:val="000000"/>
          <w:sz w:val="20"/>
          <w:szCs w:val="20"/>
        </w:rPr>
        <w:t xml:space="preserve">Email: </w:t>
      </w:r>
      <w:hyperlink r:id="rId9" w:history="1">
        <w:r w:rsidRPr="00364ABE">
          <w:rPr>
            <w:rStyle w:val="Hyperlink"/>
            <w:rFonts w:ascii="Times New Roman" w:eastAsia="Calibri" w:hAnsi="Times New Roman" w:cs="Times New Roman"/>
            <w:sz w:val="20"/>
            <w:szCs w:val="20"/>
          </w:rPr>
          <w:t>rahma.auri11@gmail.com</w:t>
        </w:r>
      </w:hyperlink>
      <w:r>
        <w:rPr>
          <w:rFonts w:ascii="Times New Roman" w:eastAsia="Calibri" w:hAnsi="Times New Roman" w:cs="Times New Roman"/>
          <w:sz w:val="20"/>
          <w:szCs w:val="20"/>
          <w:u w:val="single"/>
        </w:rPr>
        <w:t xml:space="preserve"> </w:t>
      </w:r>
    </w:p>
    <w:p w:rsidR="00EF0C53" w:rsidRDefault="00EF0C53" w:rsidP="00EF0C53">
      <w:pPr>
        <w:spacing w:after="0" w:line="240" w:lineRule="auto"/>
        <w:jc w:val="center"/>
        <w:rPr>
          <w:rFonts w:ascii="Times New Roman" w:hAnsi="Times New Roman" w:cs="Times New Roman"/>
          <w:b/>
          <w:sz w:val="24"/>
          <w:szCs w:val="24"/>
        </w:rPr>
      </w:pPr>
    </w:p>
    <w:p w:rsidR="00EF0C53" w:rsidRPr="00DC78C6" w:rsidRDefault="00EF0C53" w:rsidP="00EF0C53">
      <w:pPr>
        <w:spacing w:after="0" w:line="240" w:lineRule="auto"/>
        <w:jc w:val="center"/>
        <w:rPr>
          <w:rFonts w:ascii="Times New Roman" w:hAnsi="Times New Roman" w:cs="Times New Roman"/>
          <w:b/>
          <w:sz w:val="20"/>
          <w:szCs w:val="24"/>
        </w:rPr>
      </w:pPr>
      <w:r w:rsidRPr="00DC78C6">
        <w:rPr>
          <w:rFonts w:ascii="Times New Roman" w:hAnsi="Times New Roman" w:cs="Times New Roman"/>
          <w:b/>
          <w:sz w:val="20"/>
          <w:szCs w:val="24"/>
        </w:rPr>
        <w:t>ABSTRAK</w:t>
      </w:r>
    </w:p>
    <w:p w:rsidR="00EF0C53" w:rsidRPr="00893584" w:rsidRDefault="00EF0C53" w:rsidP="00EF0C53">
      <w:pPr>
        <w:spacing w:after="0" w:line="240" w:lineRule="auto"/>
        <w:jc w:val="both"/>
        <w:rPr>
          <w:rFonts w:ascii="Times New Roman" w:hAnsi="Times New Roman" w:cs="Times New Roman"/>
          <w:sz w:val="20"/>
          <w:szCs w:val="20"/>
        </w:rPr>
      </w:pPr>
      <w:r w:rsidRPr="00893584">
        <w:rPr>
          <w:rFonts w:ascii="Times New Roman" w:hAnsi="Times New Roman" w:cs="Times New Roman"/>
          <w:b/>
          <w:sz w:val="20"/>
          <w:szCs w:val="20"/>
        </w:rPr>
        <w:t>Introduction</w:t>
      </w:r>
      <w:r w:rsidRPr="00893584">
        <w:rPr>
          <w:rFonts w:ascii="Times New Roman" w:hAnsi="Times New Roman" w:cs="Times New Roman"/>
          <w:sz w:val="20"/>
          <w:szCs w:val="20"/>
        </w:rPr>
        <w:t>: Osteoarthritis (OA)  due to predispose and biomechanics factors causing direct degraation of the cartilage. The degradation process causes interleukin-1β (IL-1β) and leukocyte that increases as inflammation sign. The red ginger’s rhizome and cogon grass are known to have anti-inflammatory and antioxidant properties. The herbals were used s a single herb to cure diseases. The present study evaluated the potential of the two herbs for OA treatment by  decrease in IL-1β and leukocyte in rat.</w:t>
      </w:r>
    </w:p>
    <w:p w:rsidR="00EF0C53" w:rsidRDefault="00EF0C53" w:rsidP="00EF0C53">
      <w:pPr>
        <w:spacing w:after="0" w:line="240" w:lineRule="auto"/>
        <w:jc w:val="both"/>
        <w:rPr>
          <w:rFonts w:ascii="Times New Roman" w:hAnsi="Times New Roman" w:cs="Times New Roman"/>
          <w:sz w:val="20"/>
          <w:szCs w:val="20"/>
        </w:rPr>
      </w:pPr>
      <w:r w:rsidRPr="00893584">
        <w:rPr>
          <w:rFonts w:ascii="Times New Roman" w:hAnsi="Times New Roman" w:cs="Times New Roman"/>
          <w:b/>
          <w:sz w:val="20"/>
          <w:szCs w:val="20"/>
        </w:rPr>
        <w:t>Methods:</w:t>
      </w:r>
      <w:r w:rsidRPr="00893584">
        <w:rPr>
          <w:rFonts w:ascii="Times New Roman" w:hAnsi="Times New Roman" w:cs="Times New Roman"/>
          <w:sz w:val="20"/>
          <w:szCs w:val="20"/>
        </w:rPr>
        <w:t xml:space="preserve"> </w:t>
      </w:r>
      <w:r>
        <w:rPr>
          <w:rFonts w:ascii="Times New Roman" w:hAnsi="Times New Roman" w:cs="Times New Roman"/>
          <w:sz w:val="20"/>
          <w:szCs w:val="20"/>
        </w:rPr>
        <w:t xml:space="preserve">25 male Wistar rats aged </w:t>
      </w:r>
      <w:r w:rsidRPr="00893584">
        <w:rPr>
          <w:rFonts w:ascii="Times New Roman" w:hAnsi="Times New Roman" w:cs="Times New Roman"/>
          <w:sz w:val="20"/>
          <w:szCs w:val="20"/>
        </w:rPr>
        <w:t>four month</w:t>
      </w:r>
      <w:r>
        <w:rPr>
          <w:rFonts w:ascii="Times New Roman" w:hAnsi="Times New Roman" w:cs="Times New Roman"/>
          <w:sz w:val="20"/>
          <w:szCs w:val="20"/>
        </w:rPr>
        <w:t>s</w:t>
      </w:r>
      <w:r w:rsidRPr="00893584">
        <w:rPr>
          <w:rFonts w:ascii="Times New Roman" w:hAnsi="Times New Roman" w:cs="Times New Roman"/>
          <w:sz w:val="20"/>
          <w:szCs w:val="20"/>
        </w:rPr>
        <w:t>, weigh</w:t>
      </w:r>
      <w:r>
        <w:rPr>
          <w:rFonts w:ascii="Times New Roman" w:hAnsi="Times New Roman" w:cs="Times New Roman"/>
          <w:sz w:val="20"/>
          <w:szCs w:val="20"/>
        </w:rPr>
        <w:t>ed</w:t>
      </w:r>
      <w:r w:rsidRPr="00893584">
        <w:rPr>
          <w:rFonts w:ascii="Times New Roman" w:hAnsi="Times New Roman" w:cs="Times New Roman"/>
          <w:sz w:val="20"/>
          <w:szCs w:val="20"/>
        </w:rPr>
        <w:t xml:space="preserve"> 270-300g were grouped into</w:t>
      </w:r>
      <w:r>
        <w:rPr>
          <w:rFonts w:ascii="Times New Roman" w:hAnsi="Times New Roman" w:cs="Times New Roman"/>
          <w:sz w:val="20"/>
          <w:szCs w:val="20"/>
        </w:rPr>
        <w:t xml:space="preserve"> five groups;</w:t>
      </w:r>
      <w:r w:rsidRPr="00893584">
        <w:rPr>
          <w:rFonts w:ascii="Times New Roman" w:hAnsi="Times New Roman" w:cs="Times New Roman"/>
          <w:sz w:val="20"/>
          <w:szCs w:val="20"/>
        </w:rPr>
        <w:t xml:space="preserve"> negative controls (KN), positive controls (KP), treatment group 1 (P1), treatment group 2 (P2), and treatment group 3 (P3). Four groups of the rats were injected by 0,1ml </w:t>
      </w:r>
      <w:r>
        <w:rPr>
          <w:rFonts w:ascii="Times New Roman" w:hAnsi="Times New Roman" w:cs="Times New Roman"/>
          <w:sz w:val="20"/>
          <w:szCs w:val="20"/>
        </w:rPr>
        <w:t xml:space="preserve"> right knee intraarticular </w:t>
      </w:r>
      <w:r w:rsidRPr="00893584">
        <w:rPr>
          <w:rFonts w:ascii="Times New Roman" w:hAnsi="Times New Roman" w:cs="Times New Roman"/>
          <w:sz w:val="20"/>
          <w:szCs w:val="20"/>
        </w:rPr>
        <w:t xml:space="preserve">of  </w:t>
      </w:r>
      <w:r w:rsidRPr="00893584">
        <w:rPr>
          <w:rFonts w:ascii="Times New Roman" w:hAnsi="Times New Roman" w:cs="Times New Roman"/>
          <w:i/>
          <w:sz w:val="20"/>
          <w:szCs w:val="20"/>
        </w:rPr>
        <w:t xml:space="preserve">Complete Freund’s Adjuvant </w:t>
      </w:r>
      <w:r w:rsidRPr="00893584">
        <w:rPr>
          <w:rFonts w:ascii="Times New Roman" w:hAnsi="Times New Roman" w:cs="Times New Roman"/>
          <w:sz w:val="20"/>
          <w:szCs w:val="20"/>
        </w:rPr>
        <w:t xml:space="preserve">(CFA)  to induce OA. </w:t>
      </w:r>
      <w:r>
        <w:rPr>
          <w:rFonts w:ascii="Times New Roman" w:hAnsi="Times New Roman" w:cs="Times New Roman"/>
          <w:sz w:val="20"/>
          <w:szCs w:val="20"/>
        </w:rPr>
        <w:t xml:space="preserve">Three groups of OA rats are treated with </w:t>
      </w:r>
      <w:r w:rsidRPr="00893584">
        <w:rPr>
          <w:rFonts w:ascii="Times New Roman" w:hAnsi="Times New Roman" w:cs="Times New Roman"/>
          <w:sz w:val="20"/>
          <w:szCs w:val="20"/>
        </w:rPr>
        <w:t>9+40mg/day (P1), 18+40mg/day (P2), and 36+40mg/day (P3) respectively for 10 days. The treatment of RJMA was conducted 10  days post CFA injection</w:t>
      </w:r>
      <w:r>
        <w:rPr>
          <w:rFonts w:ascii="Times New Roman" w:hAnsi="Times New Roman" w:cs="Times New Roman"/>
          <w:sz w:val="20"/>
          <w:szCs w:val="20"/>
        </w:rPr>
        <w:t xml:space="preserve">. </w:t>
      </w:r>
      <w:r w:rsidRPr="00893584">
        <w:rPr>
          <w:rFonts w:ascii="Times New Roman" w:hAnsi="Times New Roman" w:cs="Times New Roman"/>
          <w:sz w:val="20"/>
          <w:szCs w:val="20"/>
        </w:rPr>
        <w:t xml:space="preserve">IL-1β </w:t>
      </w:r>
      <w:r>
        <w:rPr>
          <w:rFonts w:ascii="Times New Roman" w:hAnsi="Times New Roman" w:cs="Times New Roman"/>
          <w:sz w:val="20"/>
          <w:szCs w:val="20"/>
        </w:rPr>
        <w:t xml:space="preserve"> was measured by IL-1β assay k</w:t>
      </w:r>
      <w:r w:rsidRPr="00DC78C6">
        <w:rPr>
          <w:rFonts w:ascii="Times New Roman" w:hAnsi="Times New Roman" w:cs="Times New Roman"/>
          <w:sz w:val="20"/>
          <w:szCs w:val="20"/>
        </w:rPr>
        <w:t>it</w:t>
      </w:r>
      <w:r>
        <w:rPr>
          <w:rFonts w:ascii="Times New Roman" w:hAnsi="Times New Roman" w:cs="Times New Roman"/>
          <w:sz w:val="20"/>
          <w:szCs w:val="20"/>
        </w:rPr>
        <w:t xml:space="preserve"> and leukocyt</w:t>
      </w:r>
      <w:r w:rsidRPr="00893584">
        <w:rPr>
          <w:rFonts w:ascii="Times New Roman" w:hAnsi="Times New Roman" w:cs="Times New Roman"/>
          <w:sz w:val="20"/>
          <w:szCs w:val="20"/>
        </w:rPr>
        <w:t xml:space="preserve"> were measured </w:t>
      </w:r>
      <w:r>
        <w:rPr>
          <w:rFonts w:ascii="Times New Roman" w:hAnsi="Times New Roman" w:cs="Times New Roman"/>
          <w:sz w:val="20"/>
          <w:szCs w:val="20"/>
        </w:rPr>
        <w:t>hematologyanalyzer. The d</w:t>
      </w:r>
      <w:r w:rsidRPr="00893584">
        <w:rPr>
          <w:rFonts w:ascii="Times New Roman" w:hAnsi="Times New Roman" w:cs="Times New Roman"/>
          <w:sz w:val="20"/>
          <w:szCs w:val="20"/>
        </w:rPr>
        <w:t>ata were analyzed by One Way Anova test followed by post hoc test. The p &lt; 0.05 was considered to be significant.</w:t>
      </w:r>
    </w:p>
    <w:p w:rsidR="00EF0C53" w:rsidRPr="00893584" w:rsidRDefault="00EF0C53" w:rsidP="00EF0C53">
      <w:pPr>
        <w:spacing w:after="0" w:line="240" w:lineRule="auto"/>
        <w:jc w:val="both"/>
        <w:rPr>
          <w:rFonts w:ascii="Times New Roman" w:hAnsi="Times New Roman" w:cs="Times New Roman"/>
          <w:sz w:val="20"/>
          <w:szCs w:val="20"/>
        </w:rPr>
      </w:pPr>
      <w:r w:rsidRPr="00893584">
        <w:rPr>
          <w:rFonts w:ascii="Times New Roman" w:hAnsi="Times New Roman" w:cs="Times New Roman"/>
          <w:b/>
          <w:sz w:val="20"/>
          <w:szCs w:val="20"/>
        </w:rPr>
        <w:t>Results</w:t>
      </w:r>
      <w:r w:rsidRPr="00893584">
        <w:rPr>
          <w:rFonts w:ascii="Times New Roman" w:hAnsi="Times New Roman" w:cs="Times New Roman"/>
          <w:sz w:val="20"/>
          <w:szCs w:val="20"/>
        </w:rPr>
        <w:t xml:space="preserve">: </w:t>
      </w:r>
      <w:r>
        <w:rPr>
          <w:rFonts w:ascii="Times New Roman" w:hAnsi="Times New Roman" w:cs="Times New Roman"/>
          <w:sz w:val="20"/>
          <w:szCs w:val="20"/>
        </w:rPr>
        <w:t>The given doses of the combination RJMA dereased</w:t>
      </w:r>
      <w:r w:rsidRPr="00893584">
        <w:rPr>
          <w:rFonts w:ascii="Times New Roman" w:hAnsi="Times New Roman" w:cs="Times New Roman"/>
          <w:sz w:val="20"/>
          <w:szCs w:val="20"/>
        </w:rPr>
        <w:t xml:space="preserve"> serum IL-1β and leukocyte</w:t>
      </w:r>
      <w:r>
        <w:rPr>
          <w:rFonts w:ascii="Times New Roman" w:hAnsi="Times New Roman" w:cs="Times New Roman"/>
          <w:sz w:val="20"/>
          <w:szCs w:val="20"/>
        </w:rPr>
        <w:t xml:space="preserve"> compare to positive control</w:t>
      </w:r>
      <w:r w:rsidRPr="00893584">
        <w:rPr>
          <w:rFonts w:ascii="Times New Roman" w:hAnsi="Times New Roman" w:cs="Times New Roman"/>
          <w:sz w:val="20"/>
          <w:szCs w:val="20"/>
        </w:rPr>
        <w:t xml:space="preserve"> (p &lt;0.05). Correlation test between IL-1β levels and leukocytes showed a significant positive (p &lt;0.05).</w:t>
      </w:r>
      <w:r>
        <w:rPr>
          <w:rFonts w:ascii="Times New Roman" w:hAnsi="Times New Roman" w:cs="Times New Roman"/>
          <w:sz w:val="20"/>
          <w:szCs w:val="20"/>
        </w:rPr>
        <w:t xml:space="preserve"> the most effective dose RJMA is 36+40mg/day. The dose approximate that of KN group (p&lt;0,05)</w:t>
      </w:r>
    </w:p>
    <w:p w:rsidR="00EF0C53" w:rsidRPr="00893584" w:rsidRDefault="00EF0C53" w:rsidP="00EF0C53">
      <w:pPr>
        <w:spacing w:after="0" w:line="240" w:lineRule="auto"/>
        <w:jc w:val="both"/>
        <w:rPr>
          <w:rFonts w:ascii="Times New Roman" w:hAnsi="Times New Roman" w:cs="Times New Roman"/>
          <w:sz w:val="20"/>
          <w:szCs w:val="20"/>
        </w:rPr>
      </w:pPr>
      <w:r w:rsidRPr="00893584">
        <w:rPr>
          <w:rFonts w:ascii="Times New Roman" w:hAnsi="Times New Roman" w:cs="Times New Roman"/>
          <w:b/>
          <w:sz w:val="20"/>
          <w:szCs w:val="20"/>
        </w:rPr>
        <w:t>Conclusion</w:t>
      </w:r>
      <w:r w:rsidRPr="00893584">
        <w:rPr>
          <w:rFonts w:ascii="Times New Roman" w:hAnsi="Times New Roman" w:cs="Times New Roman"/>
          <w:sz w:val="20"/>
          <w:szCs w:val="20"/>
        </w:rPr>
        <w:t xml:space="preserve">: The </w:t>
      </w:r>
      <w:r>
        <w:rPr>
          <w:rFonts w:ascii="Times New Roman" w:hAnsi="Times New Roman" w:cs="Times New Roman"/>
          <w:sz w:val="20"/>
          <w:szCs w:val="20"/>
        </w:rPr>
        <w:t>combination of decoction of RJMA</w:t>
      </w:r>
      <w:r w:rsidRPr="00893584">
        <w:rPr>
          <w:rFonts w:ascii="Times New Roman" w:hAnsi="Times New Roman" w:cs="Times New Roman"/>
          <w:sz w:val="20"/>
          <w:szCs w:val="20"/>
        </w:rPr>
        <w:t xml:space="preserve"> at P1, P2, and P3 were able to reduce serum IL-1β and leukocyte count in OA rats caused by CFA induction.</w:t>
      </w:r>
    </w:p>
    <w:p w:rsidR="00EF0C53" w:rsidRPr="00893584" w:rsidRDefault="00EF0C53" w:rsidP="00EF0C53">
      <w:pPr>
        <w:spacing w:after="0" w:line="240" w:lineRule="auto"/>
        <w:jc w:val="both"/>
        <w:rPr>
          <w:rFonts w:ascii="Times New Roman" w:hAnsi="Times New Roman" w:cs="Times New Roman"/>
          <w:sz w:val="20"/>
          <w:szCs w:val="20"/>
        </w:rPr>
      </w:pPr>
    </w:p>
    <w:p w:rsidR="00EF0C53" w:rsidRPr="00893584" w:rsidRDefault="00EF0C53" w:rsidP="00EF0C53">
      <w:pPr>
        <w:spacing w:after="0" w:line="240" w:lineRule="auto"/>
        <w:jc w:val="both"/>
        <w:rPr>
          <w:rFonts w:ascii="Times New Roman" w:hAnsi="Times New Roman" w:cs="Times New Roman"/>
          <w:b/>
          <w:sz w:val="20"/>
          <w:szCs w:val="20"/>
        </w:rPr>
      </w:pPr>
      <w:r w:rsidRPr="00893584">
        <w:rPr>
          <w:rFonts w:ascii="Times New Roman" w:hAnsi="Times New Roman" w:cs="Times New Roman"/>
          <w:b/>
          <w:sz w:val="20"/>
          <w:szCs w:val="20"/>
        </w:rPr>
        <w:t xml:space="preserve">Keyword : </w:t>
      </w:r>
      <w:r w:rsidRPr="00893584">
        <w:rPr>
          <w:rFonts w:ascii="Times New Roman" w:hAnsi="Times New Roman" w:cs="Times New Roman"/>
          <w:i/>
          <w:sz w:val="20"/>
          <w:szCs w:val="20"/>
        </w:rPr>
        <w:t xml:space="preserve">Osteoarthritis, Decoction Red Ginger’s Rhizome and Cogon Grass, </w:t>
      </w:r>
      <w:r w:rsidRPr="00893584">
        <w:rPr>
          <w:rFonts w:ascii="Times New Roman" w:eastAsia="Calibri" w:hAnsi="Times New Roman" w:cs="Times New Roman"/>
          <w:i/>
          <w:iCs/>
          <w:color w:val="000000"/>
          <w:sz w:val="20"/>
          <w:szCs w:val="20"/>
        </w:rPr>
        <w:t xml:space="preserve">Interlrukin-1β, Leukocyte. </w:t>
      </w:r>
    </w:p>
    <w:p w:rsidR="00EF0C53" w:rsidRDefault="00EF0C53" w:rsidP="006F4ECB">
      <w:pPr>
        <w:spacing w:after="0" w:line="240" w:lineRule="auto"/>
        <w:jc w:val="both"/>
        <w:rPr>
          <w:rFonts w:ascii="Times New Roman" w:hAnsi="Times New Roman" w:cs="Times New Roman"/>
          <w:b/>
          <w:sz w:val="28"/>
          <w:szCs w:val="28"/>
        </w:rPr>
        <w:sectPr w:rsidR="00EF0C53" w:rsidSect="00E473AF">
          <w:footerReference w:type="default" r:id="rId10"/>
          <w:pgSz w:w="11906" w:h="16838"/>
          <w:pgMar w:top="1134" w:right="1134" w:bottom="1134" w:left="1701" w:header="709" w:footer="709" w:gutter="0"/>
          <w:pgNumType w:start="53"/>
          <w:cols w:space="708"/>
          <w:docGrid w:linePitch="360"/>
        </w:sectPr>
      </w:pPr>
    </w:p>
    <w:p w:rsidR="00EF0C53" w:rsidRDefault="00EF0C53" w:rsidP="006F4EC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br w:type="page"/>
      </w:r>
    </w:p>
    <w:p w:rsidR="005531DB" w:rsidRPr="00980B93" w:rsidRDefault="005531DB" w:rsidP="006F4ECB">
      <w:pPr>
        <w:spacing w:after="0" w:line="240" w:lineRule="auto"/>
        <w:jc w:val="both"/>
        <w:rPr>
          <w:rFonts w:ascii="Times New Roman" w:hAnsi="Times New Roman" w:cs="Times New Roman"/>
          <w:b/>
          <w:sz w:val="28"/>
          <w:szCs w:val="28"/>
        </w:rPr>
      </w:pPr>
      <w:r w:rsidRPr="00980B93">
        <w:rPr>
          <w:rFonts w:ascii="Times New Roman" w:hAnsi="Times New Roman" w:cs="Times New Roman"/>
          <w:b/>
          <w:sz w:val="28"/>
          <w:szCs w:val="28"/>
        </w:rPr>
        <w:lastRenderedPageBreak/>
        <w:t xml:space="preserve">PENDAHULUAN </w:t>
      </w:r>
    </w:p>
    <w:p w:rsidR="005531DB" w:rsidRPr="006F4ECB" w:rsidRDefault="005531DB" w:rsidP="006F4ECB">
      <w:pPr>
        <w:spacing w:after="0" w:line="240" w:lineRule="auto"/>
        <w:jc w:val="both"/>
        <w:rPr>
          <w:rFonts w:ascii="Times New Roman" w:hAnsi="Times New Roman" w:cs="Times New Roman"/>
          <w:b/>
          <w:sz w:val="20"/>
          <w:szCs w:val="20"/>
        </w:rPr>
      </w:pP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Osteoartritis (OA) merupakan penyakit kronis progresif menyerang kartilago sendi yang banyak terjadi pada sendi lutut dan panggul karena proses degeneratif sehingga terjadi perubahan patologis struktur sendi </w:t>
      </w:r>
      <w:r w:rsidRPr="006F4ECB">
        <w:rPr>
          <w:rFonts w:ascii="Times New Roman" w:hAnsi="Times New Roman" w:cs="Times New Roman"/>
          <w:sz w:val="20"/>
          <w:szCs w:val="20"/>
        </w:rPr>
        <w:fldChar w:fldCharType="begin" w:fldLock="1"/>
      </w:r>
      <w:r w:rsidR="00706750">
        <w:rPr>
          <w:rFonts w:ascii="Times New Roman" w:hAnsi="Times New Roman" w:cs="Times New Roman"/>
          <w:sz w:val="20"/>
          <w:szCs w:val="20"/>
        </w:rPr>
        <w:instrText>ADDIN CSL_CITATION {"citationItems":[{"id":"ITEM-1","itemData":{"author":[{"dropping-particle":"","family":"Perhimpunan Reumatologi Indonesia","given":"","non-dropping-particle":"","parse-names":false,"suffix":""}],"container-title":"Indonesia Journal of Rheumatology","edition":"2","editor":[{"dropping-particle":"","family":"Kasjmir","given":"YI","non-dropping-particle":"","parse-names":false,"suffix":""}],"id":"ITEM-1","issue":"3","issued":{"date-parts":[["2010"]]},"number-of-pages":"i+48","title":"Rheumatology","type":"book","volume":"2"},"uris":["http://www.mendeley.com/documents/?uuid=be83aa25-55b7-42aa-8637-bdd796c11a06"]}],"mendeley":{"formattedCitation":"(1)","plainTextFormattedCitation":"(1)","previouslyFormattedCitation":"(1)"},"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Prevalensi penyakit OA di dunia dan di Indonesia meningkat setiap tahunnya, dan 80% penderita sudah tidak mampu melaksanakan aktifitas sehari-hari sehingga berpengaruh pada sosio-ekonomi mereka </w:t>
      </w:r>
      <w:r w:rsidRPr="006F4ECB">
        <w:rPr>
          <w:rFonts w:ascii="Times New Roman" w:hAnsi="Times New Roman" w:cs="Times New Roman"/>
          <w:sz w:val="20"/>
          <w:szCs w:val="20"/>
        </w:rPr>
        <w:fldChar w:fldCharType="begin" w:fldLock="1"/>
      </w:r>
      <w:r w:rsidR="00706750">
        <w:rPr>
          <w:rFonts w:ascii="Times New Roman" w:hAnsi="Times New Roman" w:cs="Times New Roman"/>
          <w:sz w:val="20"/>
          <w:szCs w:val="20"/>
        </w:rPr>
        <w:instrText>ADDIN CSL_CITATION {"citationItems":[{"id":"ITEM-1","itemData":{"author":[{"dropping-particle":"","family":"WHO","given":"","non-dropping-particle":"","parse-names":false,"suffix":""}],"id":"ITEM-1","issued":{"date-parts":[["2009"]]},"title":"Osteoasrthritis. Departement of Chorni Disease and Promotion","type":"patent"},"uris":["http://www.mendeley.com/documents/?uuid=93e17d20-ae84-44de-8a95-f22dba68e12e"]},{"id":"ITEM-2","itemData":{"author":[{"dropping-particle":"","family":"Adhiiputra","given":"Agus Putra","non-dropping-particle":"","parse-names":false,"suffix":""}],"id":"ITEM-2","issue":"0802005121","issued":{"date-parts":[["2017"]]},"number-of-pages":"ii+37","publisher-place":"Bali","title":"Osteoertritis","type":"report"},"uris":["http://www.mendeley.com/documents/?uuid=1fb3be0f-1c42-40e6-b549-f035d9e4aa70"]},{"id":"ITEM-3","itemData":{"author":[{"dropping-particle":"","family":"Njoto","given":"Ibrahim","non-dropping-particle":"","parse-names":false,"suffix":""}],"id":"ITEM-3","issued":{"date-parts":[["2010"]]},"title":"Epidemiologi, patogenesis dan faktor resiko osteoartritis","type":"article-journal"},"uris":["http://www.mendeley.com/documents/?uuid=3960b060-8a60-4e7e-a6c1-52fe163aea88"]}],"mendeley":{"formattedCitation":"(2–4)","plainTextFormattedCitation":"(2–4)","previouslyFormattedCitation":"(2–4)"},"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(2–4)</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OA merupakan penyakit yang dipengaruhi banyak faktor seperti faktor predisposisi dan biomekanis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{"citationItems":[{"id":"ITEM-1","itemData":{"DOI":"10.1080/1364847012006392","abstract":"Background. Obesity is one of the metabolic syndrome, Characterized by the excessive of Body Mass Index (BMI). Obesity can be the beginning of a variety of diseases such as hypertension, coronary heart disease and impotence . The recent studiesdetermining the relationship between obesity and osteoarthritis (OA) of the knee, were found weight gain is often associated significantly as an aggravating factor in OA patients. Discussion. In the knee joint, the adverse effects of excessive weight gain canaccelerate the breakdown of joint cartilage structurefour to five times faster. Osteoarthritis is a musculoskeletal disease that ranks in first position as the cause of pain and disability (inability) in elderly patients that usually attacks the supporting joints, especially the knee joint. Conclusion. This review conclude that patient with obesity have greater risk suffering from knee osteoarthritis disease. The bilateral and unilateral knee OA disease risk increased with age, this due to decreasing of collagen strain and proteoglycans in articular cartilage. Abstrak Latar Belakang. Obesitas merupakan salah satu metabolic syndrome, yang ditandai dengan Ideks Masa Tubuh (IMT) berlebih. Obesitas dapat menjadi awal dari berbagai penyakit seperti hipertensi, jantung koroner dan impotensi. Berbagai studi menentukan hubungan antara obesitas dan osteoarthritis (OA) lutut, berat badan sering dikaitkan sebagai faktor yang memperparah pasien OA. Pembahasan. Pada sendi lutut, dampak buruk dari berat badan berlebih dapat mencapai empat hingga lima kali lebih besar sehingga mempercepat kerusakan struktur tulang rawan sendi. Osteoartritis merupakan penyakit sendi yang menduduki rangking pertama penyebab nyeri dan disabilitas (ketidakmampuan) pada lansia yang umumnya menyerang sendi–sendi penopang berat badan terutama sendi lutut. Simpulan.Ulasan ini menyimpulkan bahwa obesitas mempunyai faktor risiko Osteoartritis lutut lebih besar, faktor risiko OA lutut bilateral maupun unilateral semakin meningkat dengan bertambahnya umur. Hal ini disebabkan karena adanya hubungan antara umur dengan penurunan kekuatan kolagen dan proteoglikan pada kartilago sendi.","author":[{"dropping-particle":"","family":"Arismunandar","given":"Roby","non-dropping-particle":"","parse-names":false,"suffix":""}],"container-title":"Medical Journal of Lampung University","id":"ITEM-1","issue":"5","issued":{"date-parts":[["2015"]]},"page":"110-116","title":"the Relations Between Obesity and Osteoarthritis Knee in Elderly Patients","type":"article-journal","volume":"4"},"uris":["http://www.mendeley.com/documents/?uuid=4bda2991-8158-4238-9439-f5aba915e8fc"]},{"id":"ITEM-2","itemData":{"author":[{"dropping-particle":"","family":"Maharani","given":"Eka Prawati","non-dropping-particle":"","parse-names":false,"suffix":""}],"container-title":"Tesis","id":"ITEM-2","issued":{"date-parts":[["2007"]]},"title":"Faktor-faktor Risiko Osteoartritis Lutut","type":"article-journal"},"uris":["http://www.mendeley.com/documents/?uuid=1532928e-4032-4ced-805d-fc27eb6eb374"]}],"mendeley":{"formattedCitation":"(5,6)","plainTextFormattedCitation":"(5,6)","previouslyFormattedCitation":"(5,6)"},"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(5,6)</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Faktor tersebut menyebabkan degradasi kartilago sehingga terjadi nekrosis jaringan. Nekrosis jaringan menyebabkan ekspresi sitokin salah satunya </w:t>
      </w:r>
      <w:r w:rsidRPr="006F4ECB">
        <w:rPr>
          <w:rFonts w:ascii="Times New Roman" w:hAnsi="Times New Roman" w:cs="Times New Roman"/>
          <w:i/>
          <w:sz w:val="20"/>
          <w:szCs w:val="20"/>
        </w:rPr>
        <w:t>Interleukin-1β</w:t>
      </w:r>
      <w:r w:rsidRPr="006F4ECB">
        <w:rPr>
          <w:rFonts w:ascii="Times New Roman" w:hAnsi="Times New Roman" w:cs="Times New Roman"/>
          <w:sz w:val="20"/>
          <w:szCs w:val="20"/>
        </w:rPr>
        <w:t xml:space="preserve"> (IL-1β)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{"citationItems":[{"id":"ITEM-1","itemData":{"author":[{"dropping-particle":"","family":"Sudoyo","given":"Aru W","non-dropping-particle":"","parse-names":false,"suffix":""}],"id":"ITEM-1","issued":{"date-parts":[["2009"]]},"title":"Buku Ajar Ilmu Penyakit Dalam Jilid III Edisi V","type":"article"},"uris":["http://www.mendeley.com/documents/?uuid=dc3d5437-ef10-4085-b009-695ff96e9dd3"]}],"mendeley":{"formattedCitation":"(7)","plainTextFormattedCitation":"(7)","previouslyFormattedCitation":"(7)"},"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(7)</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IL-1β akan berikatan dengan reseptornya menyebabkan transkripsi dari </w:t>
      </w:r>
      <w:r w:rsidRPr="006F4ECB">
        <w:rPr>
          <w:rFonts w:ascii="Times New Roman" w:hAnsi="Times New Roman" w:cs="Times New Roman"/>
          <w:i/>
          <w:sz w:val="20"/>
          <w:szCs w:val="20"/>
        </w:rPr>
        <w:t>nitric oxide</w:t>
      </w:r>
      <w:r w:rsidRPr="006F4ECB">
        <w:rPr>
          <w:rFonts w:ascii="Times New Roman" w:hAnsi="Times New Roman" w:cs="Times New Roman"/>
          <w:sz w:val="20"/>
          <w:szCs w:val="20"/>
        </w:rPr>
        <w:t xml:space="preserve"> (NO) dan aktifasi makrofag</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{"citationItems":[{"id":"ITEM-1","itemData":{"author":[{"dropping-particle":"","family":"Wojdasiewicz","given":"Piotr","non-dropping-particle":"","parse-names":false,"suffix":""},{"dropping-particle":"","family":"Poniatowski","given":"A A","non-dropping-particle":"","parse-names":false,"suffix":""},{"dropping-particle":"","family":"Szukiewicz","given":"Dariusz","non-dropping-particle":"","parse-names":false,"suffix":""}],"id":"ITEM-1","issued":{"date-parts":[["2014"]]},"title":"The Role of Inflammatory and Anti-Inflammatory Cytokines in the Pathogenesis of Osteoarthritis","type":"article-journal","volume":"2014"},"uris":["http://www.mendeley.com/documents/?uuid=401dcdfb-da6f-431e-a44c-7817a5ddf4ae"]}],"mendeley":{"formattedCitation":"(8)","plainTextFormattedCitation":"(8)","previouslyFormattedCitation":"(8)"},"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(8)</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NO akan bereaksi dengan </w:t>
      </w:r>
      <w:r w:rsidRPr="006F4ECB">
        <w:rPr>
          <w:rFonts w:ascii="Times New Roman" w:hAnsi="Times New Roman" w:cs="Times New Roman"/>
          <w:i/>
          <w:sz w:val="20"/>
          <w:szCs w:val="20"/>
        </w:rPr>
        <w:t xml:space="preserve">Reactive Oxygen Species </w:t>
      </w:r>
      <w:r w:rsidRPr="006F4ECB">
        <w:rPr>
          <w:rFonts w:ascii="Times New Roman" w:hAnsi="Times New Roman" w:cs="Times New Roman"/>
          <w:sz w:val="20"/>
          <w:szCs w:val="20"/>
        </w:rPr>
        <w:t xml:space="preserve">(ROS) yang menyebabkan degradasi kartilago secara langsung. Sedangkan makrofag yang memfagositosis jaringan menyebabkan terbentuknya leukotrien sehingga leukosit meningkat </w:t>
      </w:r>
      <w:r w:rsidRPr="006F4ECB">
        <w:rPr>
          <w:rFonts w:ascii="Times New Roman" w:hAnsi="Times New Roman" w:cs="Times New Roman"/>
          <w:sz w:val="20"/>
          <w:szCs w:val="20"/>
        </w:rPr>
        <w:fldChar w:fldCharType="begin" w:fldLock="1"/>
      </w:r>
      <w:r w:rsidR="00706750">
        <w:rPr>
          <w:rFonts w:ascii="Times New Roman" w:hAnsi="Times New Roman" w:cs="Times New Roman"/>
          <w:sz w:val="20"/>
          <w:szCs w:val="20"/>
        </w:rPr>
        <w:instrText>ADDIN CSL_CITATION {"citationItems":[{"id":"ITEM-1","itemData":{"author":[{"dropping-particle":"","family":"Wojdasiewicz","given":"Piotr","non-dropping-particle":"","parse-names":false,"suffix":""},{"dropping-particle":"","family":"Poniatowski","given":"A A","non-dropping-particle":"","parse-names":false,"suffix":""},{"dropping-particle":"","family":"Szukiewicz","given":"Dariusz","non-dropping-particle":"","parse-names":false,"suffix":""}],"id":"ITEM-1","issued":{"date-parts":[["2014"]]},"title":"The Role of Inflammatory and Anti-Inflammatory Cytokines in the Pathogenesis of Osteoarthritis","type":"article-journal","volume":"2014"},"uris":["http://www.mendeley.com/documents/?uuid=401dcdfb-da6f-431e-a44c-7817a5ddf4ae"]},{"id":"ITEM-2","itemData":{"DOI":"10.1002/art.39304.Inflammatory","author":[{"dropping-particle":"","family":"Scanzello","given":"Carla R","non-dropping-particle":"","parse-names":false,"suffix":""},{"dropping-particle":"","family":"Loeser","given":"Richard F","non-dropping-particle":"","parse-names":false,"suffix":""}],"id":"ITEM-2","issue":"11","issued":{"date-parts":[["2015"]]},"page":"2797-2800","title":"HHS Public Access","type":"article-journal","volume":"67"},"uris":["http://www.mendeley.com/documents/?uuid=fcaedc85-5844-4209-95a6-95313584ded8"]}],"mendeley":{"formattedCitation":"(8,9)","plainTextFormattedCitation":"(8,9)","previouslyFormattedCitation":"(8,9)"},"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(8,9)</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Terapi non-farmakologi seperti edukasi hingga farmakologi menggunakan obat </w:t>
      </w:r>
      <w:r w:rsidRPr="006F4ECB">
        <w:rPr>
          <w:rFonts w:ascii="Times New Roman" w:hAnsi="Times New Roman" w:cs="Times New Roman"/>
          <w:i/>
          <w:sz w:val="20"/>
          <w:szCs w:val="20"/>
        </w:rPr>
        <w:t xml:space="preserve">Nonsteoridal anti-inflammatory drugs </w:t>
      </w:r>
      <w:r w:rsidRPr="006F4ECB">
        <w:rPr>
          <w:rFonts w:ascii="Times New Roman" w:hAnsi="Times New Roman" w:cs="Times New Roman"/>
          <w:sz w:val="20"/>
          <w:szCs w:val="20"/>
        </w:rPr>
        <w:t xml:space="preserve">(NSAIDs) hingga operasi hanya bertujuan mengurangi gejala tanpa mengurangi proses degradasinya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{"citationItems":[{"id":"ITEM-1","itemData":{"DOI":"10.1016/j.medcli.2016.10.019","ISBN":"9780813806976","ISSN":"15788989","PMID":"25588314","abstract":"Dengue is the most important mosquito-borne viral disease. No specific treatment or vaccine is currently available; traditional vector control methods can rarely achieve adequate control. Recently, the RIDL (Release of Insect carrying Dominant Lethality) approach has been developed, based on the sterile insect technique, in which genetically engineered 'sterile' homozygous RIDL male insects are released to mate wild females; the offspring inherit a copy of the RIDL construct and die. A RIDL strain of the dengue mosquito, Aedes aegypti, OX513A, expresses a fluorescent marker gene for identification (DsRed2) and a protein (tTAV) that causes the offspring to die. We examined whether these proteins could adversely affect predators that may feed on the insect. Aedes aegypti is a peri-domestic mosquito that typically breeds in small, rain-water-filled containers and has no specific predators. Toxorhynchites larvae feed on small aquatic organisms and are easily reared in the laboratory where they can be fed exclusively on mosquito larvae. To evaluate the effect of a predator feeding on a diet of RIDL insects, OX513A Ae. aegypti larvae were fed to two different species of Toxorhynchites (Tx. splendens and Tx. amboinensis) and effects on life table parameters of all life stages were compared to being fed on wild type larvae. No significant negative effect was observed on any life table parameter studied; this outcome and the benign nature of the expressed proteins (tTAV and DsRed2) indicate that Ae. aegypti OX513A RIDL strain is unlikely to have any adverse effects on predators in the environment. © 2013 Nordin et al.","author":[{"dropping-particle":"","family":"Sivera","given":"Francisca","non-dropping-particle":"","parse-names":false,"suffix":""},{"dropping-particle":"","family":"Andrés","given":"Mariano","non-dropping-particle":"","parse-names":false,"suffix":""},{"dropping-particle":"","family":"Quilis","given":"Neus","non-dropping-particle":"","parse-names":false,"suffix":""}],"container-title":"Medicina Clinica","id":"ITEM-1","issue":"6","issued":{"date-parts":[["2017"]]},"page":"271-276","title":"Gout: Diagnosis and treatment","type":"article-journal","volume":"148"},"uris":["http://www.mendeley.com/documents/?uuid=cdbc3034-48ac-4e59-befc-520a8a237b05"]},{"id":"ITEM-2","itemData":{"DOI":"10.1016/j.ijhydene.2009.11.114","ISBN":"0360-3199","ISSN":"03603199","abstract":"The microbial electrolysis cell (MEC) is a promising technology for producing biohydrogen at greater yield than with conventional technology. However, during a run of an acetate-fed MEC at an applied voltage of 0.5 V, substantial amounts of substrate are consumed in undesirable methanogenesis. Therefore, in order to suppress the methanogens specifically without adversely affecting exoelectrogens, this study examined the effects of sudden changes in pH, temperature and air-exposure, as well as chemical inhibitors, such as 2-bromoethanesulfonate (BES) and lumazine on methanogenesis. An abrupt decrease in temperature and pH from 30 to 20 °C and 7 to 4.9, respectively, had no effect on methanogenesis. Exposing the anode biofilm to air was also ineffective in inhibiting specific methanogens because both methanogens and exoelectrogens were damaged by oxygen. However, an injection of BES (286 μM) reduced the methanogenic electron losses substantially from 36.4 ± 4.4 (= 145.8 ± 17.4 μmol-CH4) to 2.5 ± 0.3% (= 10.2 ± 1.2 μmol-CH4), which in turn improved the overall hydrogen efficiency (acetate to H2) from 56.1 ± 5.7 to 80.1 ± 6.5% (= 3.2 mol-H2/mol-acetate). Once after inhibited, the inhibitory influence was retained even after 10 batch cycles in the absence of further BES addition. In contrast to BES, methanogenesis was unaffected by lumazine, even at much higher concentrations. The installation of a Nafion membrane resulted in the production of high purity hydrogen at the cathode but hindered proton migration, which caused a serious pH imbalance between the anode and cathode compartments. © 2010 Professor T. Nejat Veziroglu. Published by Elsevier Ltd. All rights reserved.","author":[{"dropping-particle":"","family":"Baker","given":"Erika","non-dropping-particle":"","parse-names":false,"suffix":""},{"dropping-particle":"","family":"Bernstein","given":"Ian","non-dropping-particle":"","parse-names":false,"suffix":""},{"dropping-particle":"","family":"Birrell","given":"Fraser","non-dropping-particle":"","parse-names":false,"suffix":""},{"dropping-particle":"","family":"Conaghan","given":"Philip","non-dropping-particle":"","parse-names":false,"suffix":""},{"dropping-particle":"","family":"Cumming","given":"Jo","non-dropping-particle":"","parse-names":false,"suffix":""},{"dropping-particle":"","family":"Doherty","given":"Mike","non-dropping-particle":"","parse-names":false,"suffix":""},{"dropping-particle":"","family":"Dziedzic","given":"Krysia","non-dropping-particle":"","parse-names":false,"suffix":""},{"dropping-particle":"","family":"Frearson","given":"Richard","non-dropping-particle":"","parse-names":false,"suffix":""},{"dropping-particle":"","family":"Kay","given":"Peter","non-dropping-particle":"","parse-names":false,"suffix":""},{"dropping-particle":"","family":"Lucas","given":"Brian","non-dropping-particle":"","parse-names":false,"suffix":""},{"dropping-particle":"","family":"Middleton","given":"Robert","non-dropping-particle":"","parse-names":false,"suffix":""}],"id":"ITEM-2","issue":"February 2014","issued":{"date-parts":[["2018"]]},"title":"Osteoarthritis : care and management","type":"article-journal"},"uris":["http://www.mendeley.com/documents/?uuid=c40f513e-c1fe-43e7-a9d0-ab68f86ccd0d"]}],"mendeley":{"formattedCitation":"(10,11)","plainTextFormattedCitation":"(10,11)","previouslyFormattedCitation":"(10,11)"},"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(10,11)</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Namun selain hanya mengurangi gejalanya saja, terapi farmakologi </w:t>
      </w:r>
      <w:r w:rsidR="00266690" w:rsidRPr="006F4ECB">
        <w:rPr>
          <w:rFonts w:ascii="Times New Roman" w:hAnsi="Times New Roman" w:cs="Times New Roman"/>
          <w:sz w:val="20"/>
          <w:szCs w:val="20"/>
        </w:rPr>
        <w:t xml:space="preserve">juga </w:t>
      </w:r>
      <w:r w:rsidRPr="006F4ECB">
        <w:rPr>
          <w:rFonts w:ascii="Times New Roman" w:hAnsi="Times New Roman" w:cs="Times New Roman"/>
          <w:sz w:val="20"/>
          <w:szCs w:val="20"/>
        </w:rPr>
        <w:t xml:space="preserve">menimbulkan efek samping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author":[{"dropping-particle":"","family":"Tsai","given":"J.N","non-dropping-particle":"","parse-names":false,"suffix":""},{"dropping-particle":"","family":"Burnett-bowie","given":"S","non-dropping-particle":"","parse-names":false,"suffix":""},{"dropping-particle":"","family":"Neer","given":"R.M","non-dropping-particle":"","parse-names":false,"suffix":""},{"dropping-particle":"","family":"Zhu","given":"","non-dropping-particle":"","parse-names":false,"suffix":""},{"dropping-particle":"","family":"Derico","given":"","non-dropping-particle":"","parse-names":false,"suffix":""}],"id":"ITEM-1","issued":{"date-parts":[["2015"]]},"title":"Comparative Effect of Teriparatide, Denosumab, and Combination Therapy on Peripheral Compartmental Bone Density, Microarchitecture, and Estimated Strength: the DATA-HRpQCT Study","type":"article-journal"},"uris":["http://www.mendeley.com/documents/?uuid=4076311f-5dd4-437b-956e-04f5343097d8"]},{"id":"ITEM-2","itemData":{"DOI":"10.1016/j.medcli.2016.10.019","ISBN":"9780813806976","ISSN":"15788989","PMID":"25588314","abstract":"Dengue is the most important mosquito-borne viral disease. No specific treatment or vaccine is currently available; traditional vector control methods can rarely achieve adequate control. Recently, the RIDL (Release of Insect carrying Dominant Lethality) approach has been developed, based on the sterile insect technique, in which genetically engineered 'sterile' homozygous RIDL male insects are released to mate wild females; the offspring inherit a copy of the RIDL construct and die. A RIDL strain of the dengue mosquito, Aedes aegypti, OX513A, expresses a fluorescent marker gene for identification (DsRed2) and a protein (tTAV) that causes the offspring to die. We examined whether these proteins could adversely affect predators that may feed on the insect. Aedes aegypti is a peri-domestic mosquito that typically breeds in small, rain-water-filled containers and has no specific predators. Toxorhynchites larvae feed on small aquatic organisms and are easily reared in the laboratory where they can be fed exclusively on mosquito larvae. To evaluate the effect of a predator feeding on a diet of RIDL insects, OX513A Ae. aegypti larvae were fed to two different species of Toxorhynchites (Tx. splendens and Tx. amboinensis) and effects on life table parameters of all life stages were compared to being fed on wild type larvae. No significant negative effect was observed on any life table parameter studied; this outcome and the benign nature of the expressed proteins (tTAV and DsRed2) indicate that Ae. aegypti OX513A RIDL strain is unlikely to have any adverse effects on predators in the environment. © 2013 Nordin et al.","author":[{"dropping-particle":"","family":"Sivera","given":"Francisca","non-dropping-particle":"","parse-names":false,"suffix":""},{"dropping-particle":"","family":"Andrés","given":"Mariano","non-dropping-particle":"","parse-names":false,"suffix":""},{"dropping-particle":"","family":"Quilis","given":"Neus","non-dropping-particle":"","parse-names":false,"suffix":""}],"container-title":"Medicina Clinica","id":"ITEM-2","issue":"6","issued":{"date-parts":[["2017"]]},"page":"271-276","title":"Gout: Diagnosis and treatment","type":"article-journal","volume":"148"},"uris":["http://www.mendeley.com/documents/?uuid=cdbc3034-48ac-4e59-befc-520a8a237b05"]}],"mendeley":{"formattedCitation":"(10,12)","plainTextFormattedCitation":"(10,12)","previouslyFormattedCitation":"(10,12)"},"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(10,12)</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Oleh karena itu diperukan alternatif terapi lain yang lebih aman dan alami. </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Indonesia adalah negara dengan keanekaragaman hayati yang melimpah. Herbal di masyarakat sudah digunakan sebagai obat. Seperti jahe merah (</w:t>
      </w:r>
      <w:r w:rsidRPr="006F4ECB">
        <w:rPr>
          <w:rFonts w:ascii="Times New Roman" w:hAnsi="Times New Roman" w:cs="Times New Roman"/>
          <w:i/>
          <w:sz w:val="20"/>
          <w:szCs w:val="20"/>
        </w:rPr>
        <w:t>Zingiber officinale</w:t>
      </w:r>
      <w:r w:rsidRPr="006F4ECB">
        <w:rPr>
          <w:rFonts w:ascii="Times New Roman" w:hAnsi="Times New Roman" w:cs="Times New Roman"/>
          <w:sz w:val="20"/>
          <w:szCs w:val="20"/>
        </w:rPr>
        <w:t xml:space="preserve">) digunakan sebagai kompres hangat untuk menurunkan nyeri pada OA </w:t>
      </w:r>
      <w:r w:rsidRPr="006F4ECB">
        <w:rPr>
          <w:rFonts w:ascii="Times New Roman" w:hAnsi="Times New Roman" w:cs="Times New Roman"/>
          <w:sz w:val="20"/>
          <w:szCs w:val="20"/>
        </w:rPr>
        <w:fldChar w:fldCharType="begin" w:fldLock="1"/>
      </w:r>
      <w:r w:rsidR="00706750">
        <w:rPr>
          <w:rFonts w:ascii="Times New Roman" w:hAnsi="Times New Roman" w:cs="Times New Roman"/>
          <w:sz w:val="20"/>
          <w:szCs w:val="20"/>
        </w:rPr>
        <w:instrText>ADDIN CSL_CITATION {"citationItems":[{"id":"ITEM-1","itemData":{"author":[{"dropping-particle":"","family":"Ardiansyah","given":"","non-dropping-particle":"","parse-names":false,"suffix":""}],"id":"ITEM-1","issued":{"date-parts":[["2015"]]},"publisher-place":"surakarta","title":"Pengaruh kompres hangat rebusan jahe terhadap nyeri pada penderita osteoartritis lutut di panti wredha dharma bhakti surakarta","type":"report"},"uris":["http://www.mendeley.com/documents/?uuid=4f9ad68e-83fd-4b4f-8dbf-0a0190e84100"]}],"mendeley":{"formattedCitation":"(13)","plainTextFormattedCitation":"(13)","previouslyFormattedCitation":"(13)"},"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(13)</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Sedangkan alang-alang (</w:t>
      </w:r>
      <w:r w:rsidRPr="006F4ECB">
        <w:rPr>
          <w:rFonts w:ascii="Times New Roman" w:hAnsi="Times New Roman" w:cs="Times New Roman"/>
          <w:i/>
          <w:sz w:val="20"/>
          <w:szCs w:val="20"/>
        </w:rPr>
        <w:t>Imperata cylindrica)</w:t>
      </w:r>
      <w:r w:rsidRPr="006F4ECB">
        <w:rPr>
          <w:rFonts w:ascii="Times New Roman" w:hAnsi="Times New Roman" w:cs="Times New Roman"/>
          <w:sz w:val="20"/>
          <w:szCs w:val="20"/>
        </w:rPr>
        <w:t xml:space="preserve"> dipercaya mampu sebagai antioksidan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{"citationItems":[{"id":"ITEM-1","itemData":{"DOI":"10.3390/molecules201219767","ISSN":"14203049","abstract":"Phytochemical studies on the constituents of the rhizomes of Imperata cylindrica (Gramineae) were performed using high-performance liquid chromatography (HPLC). We also aimed to search for any biologically active substance capable of inhibiting nitric oxide (NO) formation in lipopolysaccharide (LPS)-activated macrophage 264.7 cells, by testing four compounds isolated from this plant. Four compounds, including a new chromone, isoeugenin, along with ferulic acid, p-coumaric acid, and caffeic acid were isolated and identified by NMR spectroscopy. The structure of isoeugenin was determined as 7-hydroxy-5-methoxy-2-methylchromone by the 2D-NMR technique. Among the four compounds, isoeugenin has the lowest IC50 value on the inhibition of NO production in LPS-activated macrophage RAW264.7 cells (IC50, 9.33 g/mL). In addition, isoeugenin significantly suppressed the LPS-induced expressions of inducible nitric oxide synthase (iNOS), cyclooxygenase-2 (COX-2), and proinflammatory cytokines mRNA levels. Taken together, these results suggest that the anti-inflammatory activity of isoeugenin is associated with the down-regulation of iNOS, COX-2, and pro-inflammatory cytokines in RAW264.7 cells. Accordingly, our results suggest that the new chromone isoegenin should be considered a potential treatment for inflammatory disease.","author":[{"dropping-particle":"","family":"An","given":"Hyo Jin","non-dropping-particle":"","parse-names":false,"suffix":""},{"dropping-particle":"","family":"Nugroho","given":"Agung","non-dropping-particle":"","parse-names":false,"suffix":""},{"dropping-particle":"","family":"Song","given":"Byong Min","non-dropping-particle":"","parse-names":false,"suffix":""},{"dropping-particle":"","family":"Park","given":"Hee Juhn","non-dropping-particle":"","parse-names":false,"suffix":""}],"container-title":"Molecules","id":"ITEM-1","issue":"12","issued":{"date-parts":[["2015"]]},"page":"21336-21345","title":"Isoeugenin, a novel nitric oxide synthase inhibitor isolated from the rhizomes of imperata cylindrica","type":"article-journal","volume":"20"},"uris":["http://www.mendeley.com/documents/?uuid=cf2e9e41-2eea-41d6-915c-4e7a77c715ba"]},{"id":"ITEM-2","itemData":{"DOI":"10.3390/ijms19072068","ISSN":"14220067","abstract":"&lt;p&gt;The natural product 6-gingerol, a major bioactive component of the rhizome of ginger (Zingiber officinale), is known to have several beneficial effects on health, including anti-inflammatory activity. The present study aimed to investigate the effects of 6-gingerol on osteoclast differentiation associated with inflammation. 6-Gingerol inhibited osteoclast differentiation in co-cultures of osteoblasts and osteoclast precursor cells in response to the pro-inflammatory cytokine, interleukin (IL)-1. However, it did not affect osteoclast precursor differentiation into osteoclasts induced by the receptor activator of nuclear factor-κB ligand (RANKL), a key cytokine causing osteoclast differentiation. 6-Gingerol inhibited IL-1-induced RANKL expression in osteoblasts, and the addition of RANKL to the co-cultures overcame 6-gingerol-mediated inhibition of osteoclast differentiation. It also suppressed IL-1-induced prostaglandin E2 (PGE2) production in osteoblasts, and the addition of exogenous PGE2 reversed 6-gingerol-mediated inhibition of IL-induced RANKL expression in osteoblasts and osteoclast differentiation in the co-cultures. We found that 6-gingerol reduced PGE2 levels by suppressing enzymatic activities of cyclooxygenase and PGE synthase, which cooperatively catalyze the conversion of arachidonic acid to PGE2. Our findings demonstrate that 6-gingerol inhibits IL-1-induced osteoclast differentiation via suppression of RANKL expression in osteoblasts though reduction of PGE2 levels, suggesting its potential use in treating inflammatory bone destruction associated with excessive PGE2 production.&lt;/p&gt;","author":[{"dropping-particle":"","family":"Hwang","given":"Youn Hwan","non-dropping-particle":"","parse-names":false,"suffix":""},{"dropping-particle":"","family":"Kim","given":"Taesoo","non-dropping-particle":"","parse-names":false,"suffix":""},{"dropping-particle":"","family":"Kim","given":"Rajeong","non-dropping-particle":"","parse-names":false,"suffix":""},{"dropping-particle":"","family":"Ha","given":"Hyunil","non-dropping-particle":"","parse-names":false,"suffix":""}],"container-title":"International Journal of Molecular Sciences","id":"ITEM-2","issue":"7","issued":{"date-parts":[["2018"]]},"title":"The natural product 6-gingerol inhibits inflammation-associated osteoclast differentiation via reduction of prostaglandin E2 levels","type":"article-journal","volume":"19"},"uris":["http://www.mendeley.com/documents/?uuid=c1d4b8ab-44d5-42b0-9db8-7e4f8cea02e8"]}],"mendeley":{"formattedCitation":"(14,15)","plainTextFormattedCitation":"(14,15)","previouslyFormattedCitation":"(14,15)"},"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(14,15)</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Kandungan gingerol pada jahe merah mampu </w:t>
      </w:r>
      <w:r w:rsidR="00520D6F">
        <w:rPr>
          <w:rFonts w:ascii="Times New Roman" w:hAnsi="Times New Roman" w:cs="Times New Roman"/>
          <w:sz w:val="20"/>
          <w:szCs w:val="20"/>
        </w:rPr>
        <w:t xml:space="preserve">sebagai anti-inflamasi dan penghambatan kerja </w:t>
      </w:r>
      <w:r w:rsidR="00520D6F">
        <w:rPr>
          <w:rFonts w:ascii="Times New Roman" w:hAnsi="Times New Roman" w:cs="Times New Roman"/>
          <w:i/>
          <w:sz w:val="20"/>
          <w:szCs w:val="20"/>
        </w:rPr>
        <w:t>cyclooxigenase</w:t>
      </w:r>
      <w:r w:rsidRPr="006F4ECB">
        <w:rPr>
          <w:rFonts w:ascii="Times New Roman" w:hAnsi="Times New Roman" w:cs="Times New Roman"/>
          <w:sz w:val="20"/>
          <w:szCs w:val="20"/>
        </w:rPr>
        <w:t xml:space="preserve">. Kandungan isoguenin pada alang-alang mampu menekan </w:t>
      </w:r>
      <w:r w:rsidR="00520D6F">
        <w:rPr>
          <w:rFonts w:ascii="Times New Roman" w:hAnsi="Times New Roman" w:cs="Times New Roman"/>
          <w:sz w:val="20"/>
          <w:szCs w:val="20"/>
        </w:rPr>
        <w:t xml:space="preserve">aktifitas NO melalui </w:t>
      </w:r>
      <w:r w:rsidR="00520D6F">
        <w:rPr>
          <w:rFonts w:ascii="Times New Roman" w:hAnsi="Times New Roman" w:cs="Times New Roman"/>
          <w:i/>
          <w:sz w:val="20"/>
          <w:szCs w:val="20"/>
        </w:rPr>
        <w:t>inducible</w:t>
      </w:r>
      <w:r w:rsidR="00520D6F">
        <w:rPr>
          <w:rFonts w:ascii="Times New Roman" w:hAnsi="Times New Roman" w:cs="Times New Roman"/>
          <w:sz w:val="20"/>
          <w:szCs w:val="20"/>
        </w:rPr>
        <w:t xml:space="preserve"> </w:t>
      </w:r>
      <w:r w:rsidR="00520D6F">
        <w:rPr>
          <w:rFonts w:ascii="Times New Roman" w:hAnsi="Times New Roman" w:cs="Times New Roman"/>
          <w:i/>
          <w:sz w:val="20"/>
          <w:szCs w:val="20"/>
        </w:rPr>
        <w:t>nitric oxide synthase</w:t>
      </w:r>
      <w:r w:rsidRPr="006F4ECB">
        <w:rPr>
          <w:rFonts w:ascii="Times New Roman" w:hAnsi="Times New Roman" w:cs="Times New Roman"/>
          <w:sz w:val="20"/>
          <w:szCs w:val="20"/>
        </w:rPr>
        <w:t xml:space="preserve"> dan kandungan </w:t>
      </w:r>
      <w:r w:rsidR="00520D6F">
        <w:rPr>
          <w:rFonts w:ascii="Times New Roman" w:hAnsi="Times New Roman" w:cs="Times New Roman"/>
          <w:sz w:val="20"/>
          <w:szCs w:val="20"/>
        </w:rPr>
        <w:t>polifenol</w:t>
      </w:r>
      <w:r w:rsidRPr="006F4ECB">
        <w:rPr>
          <w:rFonts w:ascii="Times New Roman" w:hAnsi="Times New Roman" w:cs="Times New Roman"/>
          <w:sz w:val="20"/>
          <w:szCs w:val="20"/>
        </w:rPr>
        <w:t xml:space="preserve"> serta fenolik mampu sebagai antioksidan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{"citationItems":[{"id":"ITEM-1","itemData":{"DOI":"10.3390/molecules201219767","ISSN":"14203049","abstract":"Phytochemical studies on the constituents of the rhizomes of Imperata cylindrica (Gramineae) were performed using high-performance liquid chromatography (HPLC). We also aimed to search for any biologically active substance capable of inhibiting nitric oxide (NO) formation in lipopolysaccharide (LPS)-activated macrophage 264.7 cells, by testing four compounds isolated from this plant. Four compounds, including a new chromone, isoeugenin, along with ferulic acid, p-coumaric acid, and caffeic acid were isolated and identified by NMR spectroscopy. The structure of isoeugenin was determined as 7-hydroxy-5-methoxy-2-methylchromone by the 2D-NMR technique. Among the four compounds, isoeugenin has the lowest IC50 value on the inhibition of NO production in LPS-activated macrophage RAW264.7 cells (IC50, 9.33 g/mL). In addition, isoeugenin significantly suppressed the LPS-induced expressions of inducible nitric oxide synthase (iNOS), cyclooxygenase-2 (COX-2), and proinflammatory cytokines mRNA levels. Taken together, these results suggest that the anti-inflammatory activity of isoeugenin is associated with the down-regulation of iNOS, COX-2, and pro-inflammatory cytokines in RAW264.7 cells. Accordingly, our results suggest that the new chromone isoegenin should be considered a potential treatment for inflammatory disease.","author":[{"dropping-particle":"","family":"An","given":"Hyo Jin","non-dropping-particle":"","parse-names":false,"suffix":""},{"dropping-particle":"","family":"Nugroho","given":"Agung","non-dropping-particle":"","parse-names":false,"suffix":""},{"dropping-particle":"","family":"Song","given":"Byong Min","non-dropping-particle":"","parse-names":false,"suffix":""},{"dropping-particle":"","family":"Park","given":"Hee Juhn","non-dropping-particle":"","parse-names":false,"suffix":""}],"container-title":"Molecules","id":"ITEM-1","issue":"12","issued":{"date-parts":[["2015"]]},"page":"21336-21345","title":"Isoeugenin, a novel nitric oxide synthase inhibitor isolated from the rhizomes of imperata cylindrica","type":"article-journal","volume":"20"},"uris":["http://www.mendeley.com/documents/?uuid=cf2e9e41-2eea-41d6-915c-4e7a77c715ba"]}],"mendeley":{"formattedCitation":"(14)","plainTextFormattedCitation":"(14)","previouslyFormattedCitation":"(14)"},"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(14)</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w:t>
      </w:r>
    </w:p>
    <w:p w:rsidR="005531DB" w:rsidRDefault="005531DB" w:rsidP="006F4ECB">
      <w:pPr>
        <w:spacing w:after="0" w:line="240" w:lineRule="auto"/>
        <w:jc w:val="both"/>
        <w:rPr>
          <w:rFonts w:ascii="Times New Roman" w:eastAsia="Times New Roman" w:hAnsi="Times New Roman" w:cs="Times New Roman"/>
          <w:sz w:val="20"/>
          <w:szCs w:val="20"/>
        </w:rPr>
      </w:pPr>
      <w:r w:rsidRPr="006F4ECB">
        <w:rPr>
          <w:rFonts w:ascii="Times New Roman" w:hAnsi="Times New Roman" w:cs="Times New Roman"/>
          <w:sz w:val="20"/>
          <w:szCs w:val="20"/>
        </w:rPr>
        <w:t xml:space="preserve">       Masyarakat Indonesia lebih senang memanfaatkan herbal dengan cara di seduh. Hal ini sama dengan metode dekoktasi. Dekokta adalah perebusan tanaman hingga mendidih selama 30 menit. Metode ini lebih banyak digunakan karena mudah dan praktis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{"citationItems":[{"id":"ITEM-1","itemData":{"DOI":"10.1016/j.proche.2015.12.023","ISSN":"18766196","abstract":"This research aims to compare between decocta and maceration method using water and ethanol as a solvent on total flavonoid, total phenolic content, antioxidant and antibacterial activity of Zingiber officinale rhyzome extract. The Rhyzome was dryed by oven method on 50°C for 24 hours and 48 hours. Total flavonoid, total phenolic content and antioxidant activity were assay by spectrophotometric method. The antibacterial activity was determined by difussion agar method against Bacillus subtilis (Bs) and Escherichia colli InaCC B5 (Ec). Ethanol extract from dried rhyzome processed for 24 hours (R-24) indicated the best result for total flavonoid, total phenolic content and antioxidant activity. The yield of total flavonoid for R-24 was 286 μg/mL. The yield of total phenolic content for R-24 was 504 μg/mL and the yield of IC50 antioxidant activity for R-24 was 5.753 μg/mL. The extract should antibacterial activity againts Bs with inhibition diameter of 10% and 20% of samples concentration are 10 and 11.5 mm respectively. Meanwhile, The inhibition diameter result against Ec for 10% and 20% of samples concentration are 7.5 and 8.5 mm respectively.","author":[{"dropping-particle":"","family":"Andriyani","given":"Rina","non-dropping-particle":"","parse-names":false,"suffix":""},{"dropping-particle":"","family":"Budiati","given":"Thelma A.","non-dropping-particle":"","parse-names":false,"suffix":""},{"dropping-particle":"","family":"Pudjiraharti","given":"Sri","non-dropping-particle":"","parse-names":false,"suffix":""}],"container-title":"Procedia Chemistry","id":"ITEM-1","issued":{"date-parts":[["2015"]]},"page":"149-154","title":"Effect of Extraction Method on Total Flavonoid, Total Phenolic Content, Antioxidant and Anti-bacterial Activity of Zingiberis Officinale Rhizome","type":"article-journal","volume":"16"},"uris":["http://www.mendeley.com/documents/?uuid=8aeb0974-266f-454e-81f7-755da4a7228b"]}],"mendeley":{"formattedCitation":"(16)","plainTextFormattedCitation":"(16)","previouslyFormattedCitation":"(16)"},"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(16)</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.Oleh karena itu dengan melihat potensi jahe merah dan alang-alang yang dapat dijadikan terapi untuk mengurangi efek samping obat OA </w:t>
      </w:r>
      <w:r w:rsidRPr="006F4ECB">
        <w:rPr>
          <w:rFonts w:ascii="Times New Roman" w:eastAsia="Times New Roman" w:hAnsi="Times New Roman" w:cs="Times New Roman"/>
          <w:sz w:val="20"/>
          <w:szCs w:val="20"/>
        </w:rPr>
        <w:t>maka perlu dilakukan penelitian lanjutan mengenai efek tersebut dengan melakukan kombinasi dekokta rimpang jahe merah dan alang-alang (</w:t>
      </w:r>
      <w:r w:rsidR="008832B7" w:rsidRPr="006F4ECB">
        <w:rPr>
          <w:rFonts w:ascii="Times New Roman" w:eastAsia="Times New Roman" w:hAnsi="Times New Roman" w:cs="Times New Roman"/>
          <w:sz w:val="20"/>
          <w:szCs w:val="20"/>
        </w:rPr>
        <w:t>R</w:t>
      </w:r>
      <w:r w:rsidRPr="006F4ECB">
        <w:rPr>
          <w:rFonts w:ascii="Times New Roman" w:eastAsia="Times New Roman" w:hAnsi="Times New Roman" w:cs="Times New Roman"/>
          <w:sz w:val="20"/>
          <w:szCs w:val="20"/>
        </w:rPr>
        <w:t xml:space="preserve">JMA) untuk lebih dapat mengurangi gejala OA dengan parameter kadar </w:t>
      </w:r>
      <w:r w:rsidRPr="006F4ECB">
        <w:rPr>
          <w:rFonts w:ascii="Times New Roman" w:hAnsi="Times New Roman" w:cs="Times New Roman"/>
          <w:sz w:val="20"/>
          <w:szCs w:val="20"/>
        </w:rPr>
        <w:t xml:space="preserve">IL-1β dan jumlah </w:t>
      </w:r>
      <w:r w:rsidRPr="006F4ECB">
        <w:rPr>
          <w:rFonts w:ascii="Times New Roman" w:eastAsia="Times New Roman" w:hAnsi="Times New Roman" w:cs="Times New Roman"/>
          <w:sz w:val="20"/>
          <w:szCs w:val="20"/>
        </w:rPr>
        <w:t xml:space="preserve">leukosit. </w:t>
      </w:r>
    </w:p>
    <w:p w:rsidR="005531DB" w:rsidRPr="00980B93" w:rsidRDefault="005531DB" w:rsidP="006F4ECB">
      <w:pPr>
        <w:spacing w:after="0" w:line="240" w:lineRule="auto"/>
        <w:jc w:val="both"/>
        <w:rPr>
          <w:rFonts w:ascii="Times New Roman" w:eastAsia="Times New Roman" w:hAnsi="Times New Roman" w:cs="Times New Roman"/>
          <w:b/>
          <w:sz w:val="28"/>
          <w:szCs w:val="28"/>
        </w:rPr>
      </w:pPr>
      <w:r w:rsidRPr="00980B93">
        <w:rPr>
          <w:rFonts w:ascii="Times New Roman" w:eastAsia="Times New Roman" w:hAnsi="Times New Roman" w:cs="Times New Roman"/>
          <w:b/>
          <w:sz w:val="28"/>
          <w:szCs w:val="28"/>
        </w:rPr>
        <w:lastRenderedPageBreak/>
        <w:t>METODE</w:t>
      </w:r>
    </w:p>
    <w:p w:rsidR="005531DB" w:rsidRPr="006F4ECB" w:rsidRDefault="005531DB" w:rsidP="006F4ECB">
      <w:pPr>
        <w:spacing w:after="0" w:line="240" w:lineRule="auto"/>
        <w:jc w:val="both"/>
        <w:rPr>
          <w:rFonts w:ascii="Times New Roman" w:eastAsia="Times New Roman" w:hAnsi="Times New Roman" w:cs="Times New Roman"/>
          <w:b/>
          <w:sz w:val="20"/>
          <w:szCs w:val="20"/>
        </w:rPr>
      </w:pPr>
    </w:p>
    <w:p w:rsidR="005531DB"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eastAsia="Times New Roman" w:hAnsi="Times New Roman" w:cs="Times New Roman"/>
          <w:b/>
          <w:sz w:val="20"/>
          <w:szCs w:val="20"/>
        </w:rPr>
        <w:t xml:space="preserve">       </w:t>
      </w:r>
      <w:r w:rsidRPr="006F4ECB">
        <w:rPr>
          <w:rFonts w:ascii="Times New Roman" w:hAnsi="Times New Roman" w:cs="Times New Roman"/>
          <w:sz w:val="20"/>
          <w:szCs w:val="20"/>
        </w:rPr>
        <w:t xml:space="preserve">Penelitian ini merupakan penelitian eksperimental laboratorium </w:t>
      </w:r>
      <w:r w:rsidRPr="006F4ECB">
        <w:rPr>
          <w:rFonts w:ascii="Times New Roman" w:hAnsi="Times New Roman" w:cs="Times New Roman"/>
          <w:i/>
          <w:sz w:val="20"/>
          <w:szCs w:val="20"/>
        </w:rPr>
        <w:t xml:space="preserve">in vivo </w:t>
      </w:r>
      <w:r w:rsidRPr="006F4ECB">
        <w:rPr>
          <w:rFonts w:ascii="Times New Roman" w:hAnsi="Times New Roman" w:cs="Times New Roman"/>
          <w:sz w:val="20"/>
          <w:szCs w:val="20"/>
        </w:rPr>
        <w:t xml:space="preserve">dengan desain </w:t>
      </w:r>
      <w:r w:rsidRPr="006F4ECB">
        <w:rPr>
          <w:rFonts w:ascii="Times New Roman" w:hAnsi="Times New Roman" w:cs="Times New Roman"/>
          <w:i/>
          <w:sz w:val="20"/>
          <w:szCs w:val="20"/>
        </w:rPr>
        <w:t>control group post test only</w:t>
      </w:r>
      <w:r w:rsidRPr="006F4ECB">
        <w:rPr>
          <w:rFonts w:ascii="Times New Roman" w:hAnsi="Times New Roman" w:cs="Times New Roman"/>
          <w:sz w:val="20"/>
          <w:szCs w:val="20"/>
        </w:rPr>
        <w:t xml:space="preserve"> yang dilakukan di lab </w:t>
      </w:r>
      <w:r w:rsidRPr="006F4ECB">
        <w:rPr>
          <w:rFonts w:ascii="Times New Roman" w:hAnsi="Times New Roman" w:cs="Times New Roman"/>
          <w:i/>
          <w:sz w:val="20"/>
          <w:szCs w:val="20"/>
        </w:rPr>
        <w:t xml:space="preserve">animal house </w:t>
      </w:r>
      <w:r w:rsidRPr="006F4ECB">
        <w:rPr>
          <w:rFonts w:ascii="Times New Roman" w:hAnsi="Times New Roman" w:cs="Times New Roman"/>
          <w:sz w:val="20"/>
          <w:szCs w:val="20"/>
        </w:rPr>
        <w:t xml:space="preserve">FK Universitas Islam Malang, lab biosains Universitas Brawijaya, dan Rumah Sakit Hewan Universitas Brawijaya. Pelaksanaan penelitian ini dimulai dari bulan Februari hingga April 2019. </w:t>
      </w:r>
      <w:r w:rsidRPr="006F4ECB">
        <w:rPr>
          <w:rFonts w:ascii="Times New Roman" w:hAnsi="Times New Roman" w:cs="Times New Roman"/>
          <w:color w:val="000000"/>
          <w:sz w:val="20"/>
          <w:szCs w:val="20"/>
        </w:rPr>
        <w:t xml:space="preserve">Penelitian ini juga telah disetujui secara etik oleh Komisi Etik Penelitian Universitas Brawijaya dan diterbitkan pada tanggal 8 Januari 2019 dengan nomor 1055-KEP-UB. </w:t>
      </w:r>
    </w:p>
    <w:p w:rsidR="005531DB" w:rsidRPr="006F4ECB" w:rsidRDefault="005531DB" w:rsidP="006F4ECB">
      <w:pPr>
        <w:spacing w:after="0" w:line="240" w:lineRule="auto"/>
        <w:jc w:val="both"/>
        <w:rPr>
          <w:rFonts w:ascii="Times New Roman" w:hAnsi="Times New Roman" w:cs="Times New Roman"/>
          <w:color w:val="000000"/>
          <w:sz w:val="20"/>
          <w:szCs w:val="20"/>
        </w:rPr>
      </w:pPr>
    </w:p>
    <w:p w:rsidR="005531DB"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Subjek Penelitian</w:t>
      </w:r>
    </w:p>
    <w:p w:rsidR="005531DB"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color w:val="000000"/>
          <w:sz w:val="20"/>
          <w:szCs w:val="20"/>
        </w:rPr>
        <w:t>Pada penelitian ini menggunakan tikus putih jantan (</w:t>
      </w:r>
      <w:r w:rsidRPr="006F4ECB">
        <w:rPr>
          <w:rFonts w:ascii="Times New Roman" w:hAnsi="Times New Roman" w:cs="Times New Roman"/>
          <w:i/>
          <w:color w:val="000000"/>
          <w:sz w:val="20"/>
          <w:szCs w:val="20"/>
        </w:rPr>
        <w:t>Ratus novergicus L)</w:t>
      </w:r>
      <w:r w:rsidRPr="006F4ECB">
        <w:rPr>
          <w:rFonts w:ascii="Times New Roman" w:hAnsi="Times New Roman" w:cs="Times New Roman"/>
          <w:color w:val="000000"/>
          <w:sz w:val="20"/>
          <w:szCs w:val="20"/>
        </w:rPr>
        <w:t xml:space="preserve"> galur wistar sebanyak 25 ekor dengan menggunakan rumus Federer. Hewan coba yang digunakan berumur 4 bulan dengan berat 200-300 gram. Pembagian kelompok perlakuan dilakukan secara acak atau </w:t>
      </w:r>
      <w:r w:rsidRPr="006F4ECB">
        <w:rPr>
          <w:rFonts w:ascii="Times New Roman" w:hAnsi="Times New Roman" w:cs="Times New Roman"/>
          <w:i/>
          <w:color w:val="000000"/>
          <w:sz w:val="20"/>
          <w:szCs w:val="20"/>
        </w:rPr>
        <w:t>random sampling</w:t>
      </w:r>
      <w:r w:rsidRPr="006F4ECB">
        <w:rPr>
          <w:rFonts w:ascii="Times New Roman" w:hAnsi="Times New Roman" w:cs="Times New Roman"/>
          <w:color w:val="000000"/>
          <w:sz w:val="20"/>
          <w:szCs w:val="20"/>
        </w:rPr>
        <w:t xml:space="preserve"> (n=5) pada kelompok kontrol negatif (KN), kelompok kontrol positif (KP), kelompok perlakuan 1 (P1), kelompok perlakuan 2 (P2), kelompok perlakuan 3 (P3). Hewan coba selanjutnya dilakukan aklimatisasi, diberi makan dan minum </w:t>
      </w:r>
      <w:r w:rsidRPr="006F4ECB">
        <w:rPr>
          <w:rFonts w:ascii="Times New Roman" w:hAnsi="Times New Roman" w:cs="Times New Roman"/>
          <w:i/>
          <w:color w:val="000000"/>
          <w:sz w:val="20"/>
          <w:szCs w:val="20"/>
        </w:rPr>
        <w:t>Ad libitum</w:t>
      </w:r>
      <w:r w:rsidRPr="006F4ECB">
        <w:rPr>
          <w:rFonts w:ascii="Times New Roman" w:hAnsi="Times New Roman" w:cs="Times New Roman"/>
          <w:color w:val="000000"/>
          <w:sz w:val="20"/>
          <w:szCs w:val="20"/>
        </w:rPr>
        <w:t>.</w:t>
      </w:r>
    </w:p>
    <w:p w:rsidR="005531DB" w:rsidRPr="006F4ECB" w:rsidRDefault="005531DB" w:rsidP="006F4ECB">
      <w:pPr>
        <w:spacing w:after="0" w:line="240" w:lineRule="auto"/>
        <w:jc w:val="both"/>
        <w:rPr>
          <w:rFonts w:ascii="Times New Roman" w:hAnsi="Times New Roman" w:cs="Times New Roman"/>
          <w:color w:val="000000"/>
          <w:sz w:val="20"/>
          <w:szCs w:val="20"/>
        </w:rPr>
      </w:pPr>
    </w:p>
    <w:p w:rsidR="005531DB"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Tikus Model Osteoartritis</w:t>
      </w:r>
    </w:p>
    <w:p w:rsidR="005531DB"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color w:val="000000"/>
          <w:sz w:val="20"/>
          <w:szCs w:val="20"/>
        </w:rPr>
        <w:t xml:space="preserve">Injeksi ketamin 0,1ml/100grBB tikus secara intra-muskular dilakukan sebagai anastesi tikus untuk selanjutnya dilakukan injeksi </w:t>
      </w:r>
      <w:r w:rsidRPr="006F4ECB">
        <w:rPr>
          <w:rFonts w:ascii="Times New Roman" w:hAnsi="Times New Roman" w:cs="Times New Roman"/>
          <w:i/>
          <w:color w:val="000000"/>
          <w:sz w:val="20"/>
          <w:szCs w:val="20"/>
        </w:rPr>
        <w:t>Complete Freund’s Adjuvant</w:t>
      </w:r>
      <w:r w:rsidRPr="006F4ECB">
        <w:rPr>
          <w:rFonts w:ascii="Times New Roman" w:hAnsi="Times New Roman" w:cs="Times New Roman"/>
          <w:color w:val="000000"/>
          <w:sz w:val="20"/>
          <w:szCs w:val="20"/>
        </w:rPr>
        <w:t xml:space="preserve"> (CFA) 0,1ml secara intra-artikular pada lutut kanan tikus yang dilakukan satu kali selama percobaan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{"citationItems":[{"id":"ITEM-1","itemData":{"author":[{"dropping-particle":"","family":"Gomes","given":"Raquel Pinheiro","non-dropping-particle":"","parse-names":false,"suffix":""},{"dropping-particle":"","family":"Bressan","given":"Elisangela","non-dropping-particle":"","parse-names":false,"suffix":""},{"dropping-particle":"","family":"Morgana","given":"Tatiane","non-dropping-particle":"","parse-names":false,"suffix":""},{"dropping-particle":"","family":"Gevaerd","given":"Silva","non-dropping-particle":"","parse-names":false,"suffix":""},{"dropping-particle":"","family":"Tonussi","given":"Carlos Rogério","non-dropping-particle":"","parse-names":false,"suffix":""},{"dropping-particle":"","family":"Domenech","given":"Susana Cristina","non-dropping-particle":"","parse-names":false,"suffix":""}],"id":"ITEM-1","issue":"55 48","issued":{"date-parts":[["2013"]]},"page":"76-82","title":"Standardization of an experimental model suitable for studies on the effect of exercise on arthritis Padronização de modelo experimental adequado a estudos do efeito do exercício na artrite","type":"article-journal","volume":"11"},"uris":["http://www.mendeley.com/documents/?uuid=06e11a9a-5034-473b-9d8b-01c515afeba5"]}],"mendeley":{"formattedCitation":"(17)","plainTextFormattedCitation":"(17)","previouslyFormattedCitation":"(17)"},"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(17)</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xml:space="preserve">. Injeksi CFA dilakukan dengan menekuk lutut kaki kanan tikus  dan memfiksasi kuat agar celah sendinya dapat teraba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{"citationItems":[{"id":"ITEM-1","itemData":{"DOI":"10.1186/ar4502","author":[{"dropping-particle":"","family":"Torres-guzman","given":"Ana M","non-dropping-particle":"","parse-names":false,"suffix":""},{"dropping-particle":"","family":"Morado-urbina","given":"Carlos E","non-dropping-particle":"","parse-names":false,"suffix":""},{"dropping-particle":"","family":"Alvarado-vazquez","given":"Perla A","non-dropping-particle":"","parse-names":false,"suffix":""},{"dropping-particle":"","family":"Acosta-gonzalez","given":"Rosa I","non-dropping-particle":"","parse-names":false,"suffix":""},{"dropping-particle":"","family":"Chávez-piña","given":"Aracely E","non-dropping-particle":"","parse-names":false,"suffix":""},{"dropping-particle":"","family":"Montiel-ruiz","given":"Rosa M","non-dropping-particle":"","parse-names":false,"suffix":""},{"dropping-particle":"","family":"Jimenez-andrade","given":"Juan M","non-dropping-particle":"","parse-names":false,"suffix":""}],"id":"ITEM-1","issued":{"date-parts":[["2014"]]},"title":"Chronic oral or intraarticular administration of docosahexaenoic acid reduces nociception and knee edema and improves functional outcomes in a mouse model of Complete Freund ’ s Adjuvant – induced knee arthritis","type":"article-journal"},"uris":["http://www.mendeley.com/documents/?uuid=3b197506-e2a9-475b-8a22-75cebddb05a7"]}],"mendeley":{"formattedCitation":"(18)","plainTextFormattedCitation":"(18)","previouslyFormattedCitation":"(18)"},"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(18)</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xml:space="preserve">. Gejala OA akan muncul pada hari ke 7 setelah injeksi CFA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{"citationItems":[{"id":"ITEM-1","itemData":{"ISBN":"9786026056931","author":[{"dropping-particle":"","family":"Robin","given":"Dwi Merry Chisrmarini","non-dropping-particle":"","parse-names":false,"suffix":""}],"id":"ITEM-1","issued":{"date-parts":[["2016"]]},"page":"190-193","title":"ESTABLISHMENT OF A RAT MODEL OF TEMPOROMANDIBULAR JOINT OSTEOARTHRITIS USING INTRAARTICULAR INJECTION OF COMPLETE FRE UND ’ S ADJUVANT","type":"article-journal"},"uris":["http://www.mendeley.com/documents/?uuid=3890b710-9874-40df-8c79-33bd7d2997dc"]}],"mendeley":{"formattedCitation":"(19)","plainTextFormattedCitation":"(19)","previouslyFormattedCitation":"(19)"},"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(19)</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xml:space="preserve">. Pengukuran indeks atritis dilakukan dengan mengukur edema menggunakan </w:t>
      </w:r>
      <w:r w:rsidRPr="006F4ECB">
        <w:rPr>
          <w:rFonts w:ascii="Times New Roman" w:hAnsi="Times New Roman" w:cs="Times New Roman"/>
          <w:i/>
          <w:color w:val="000000"/>
          <w:sz w:val="20"/>
          <w:szCs w:val="20"/>
        </w:rPr>
        <w:t xml:space="preserve">micrometer screw </w:t>
      </w:r>
      <w:r w:rsidR="00D047E5">
        <w:rPr>
          <w:rFonts w:ascii="Times New Roman" w:hAnsi="Times New Roman" w:cs="Times New Roman"/>
          <w:color w:val="000000"/>
          <w:sz w:val="20"/>
          <w:szCs w:val="20"/>
        </w:rPr>
        <w:t>serta didukung dengan</w:t>
      </w:r>
      <w:r w:rsidRPr="006F4ECB">
        <w:rPr>
          <w:rFonts w:ascii="Times New Roman" w:hAnsi="Times New Roman" w:cs="Times New Roman"/>
          <w:color w:val="000000"/>
          <w:sz w:val="20"/>
          <w:szCs w:val="20"/>
        </w:rPr>
        <w:t xml:space="preserve"> foto </w:t>
      </w:r>
      <w:r w:rsidRPr="006F4ECB">
        <w:rPr>
          <w:rFonts w:ascii="Times New Roman" w:hAnsi="Times New Roman" w:cs="Times New Roman"/>
          <w:i/>
          <w:color w:val="000000"/>
          <w:sz w:val="20"/>
          <w:szCs w:val="20"/>
        </w:rPr>
        <w:t>x-ray</w:t>
      </w:r>
      <w:r w:rsidRPr="006F4ECB">
        <w:rPr>
          <w:rFonts w:ascii="Times New Roman" w:hAnsi="Times New Roman" w:cs="Times New Roman"/>
          <w:color w:val="000000"/>
          <w:sz w:val="20"/>
          <w:szCs w:val="20"/>
        </w:rPr>
        <w:t xml:space="preserve"> </w:t>
      </w:r>
      <w:r w:rsidR="00D047E5">
        <w:rPr>
          <w:rFonts w:ascii="Times New Roman" w:hAnsi="Times New Roman" w:cs="Times New Roman"/>
          <w:color w:val="000000"/>
          <w:sz w:val="20"/>
          <w:szCs w:val="20"/>
        </w:rPr>
        <w:t xml:space="preserve">dan histopatologi pewarnaan </w:t>
      </w:r>
      <w:r w:rsidR="00D047E5">
        <w:rPr>
          <w:rFonts w:ascii="Times New Roman" w:hAnsi="Times New Roman" w:cs="Times New Roman"/>
          <w:i/>
          <w:color w:val="000000"/>
          <w:sz w:val="20"/>
          <w:szCs w:val="20"/>
        </w:rPr>
        <w:t xml:space="preserve">Hematoxyline Eosin </w:t>
      </w:r>
      <w:r w:rsidR="00D047E5">
        <w:rPr>
          <w:rFonts w:ascii="Times New Roman" w:hAnsi="Times New Roman" w:cs="Times New Roman"/>
          <w:color w:val="000000"/>
          <w:sz w:val="20"/>
          <w:szCs w:val="20"/>
        </w:rPr>
        <w:t xml:space="preserve">pada </w:t>
      </w:r>
      <w:r w:rsidRPr="006F4ECB">
        <w:rPr>
          <w:rFonts w:ascii="Times New Roman" w:hAnsi="Times New Roman" w:cs="Times New Roman"/>
          <w:color w:val="000000"/>
          <w:sz w:val="20"/>
          <w:szCs w:val="20"/>
        </w:rPr>
        <w:t xml:space="preserve">lutut kanan tikus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{"citationItems":[{"id":"ITEM-1","itemData":{"author":[{"dropping-particle":"","family":"Sciences","given":"Plant","non-dropping-particle":"","parse-names":false,"suffix":""},{"dropping-particle":"","family":"Khan","given":"H M","non-dropping-particle":"","parse-names":false,"suffix":""},{"dropping-particle":"","family":"Ashraf","given":"M","non-dropping-particle":"","parse-names":false,"suffix":""},{"dropping-particle":"","family":"Hashmi","given":"A S","non-dropping-particle":"","parse-names":false,"suffix":""},{"dropping-particle":"","family":"Ahmad","given":"M U D","non-dropping-particle":"","parse-names":false,"suffix":""},{"dropping-particle":"","family":"Anjum","given":"A A","non-dropping-particle":"","parse-names":false,"suffix":""},{"dropping-particle":"","family":"Road","given":"Jail","non-dropping-particle":"","parse-names":false,"suffix":""},{"dropping-particle":"","family":"Sciences","given":"Animal","non-dropping-particle":"","parse-names":false,"suffix":""}],"container-title":"the journal of animal and plant sciences","id":"ITEM-1","issue":"4","issued":{"date-parts":[["2012"]]},"page":"960-965","title":"CLINICAL ASSESSMENT OF EXPERIMENTALLY INDUCED OSTEOARTHRITIS RAT MODEL IN RELATION TO TIME","type":"article-journal","volume":"22"},"uris":["http://www.mendeley.com/documents/?uuid=f7d3b82e-840b-432e-85d5-4eb647902567"]},{"id":"ITEM-2","itemData":{"DOI":"10.1136/rmdopen-2018-000713","ISBN":"2018000713","author":[{"dropping-particle":"","family":"Osthoff","given":"Anne-kathrin Rausch","non-dropping-particle":"","parse-names":false,"suffix":""},{"dropping-particle":"","family":"Juhl","given":"Carsten Bogh","non-dropping-particle":"","parse-names":false,"suffix":""},{"dropping-particle":"","family":"Knittle","given":"Keegan","non-dropping-particle":"","parse-names":false,"suffix":""},{"dropping-particle":"","family":"Dagfinrud","given":"Hanne","non-dropping-particle":"","parse-names":false,"suffix":""},{"dropping-particle":"","family":"Hurkmans","given":"Emalie","non-dropping-particle":"","parse-names":false,"suffix":""},{"dropping-particle":"","family":"Braun","given":"Juergen","non-dropping-particle":"","parse-names":false,"suffix":""},{"dropping-particle":"","family":"Schoones","given":"Jan","non-dropping-particle":"","parse-names":false,"suffix":""},{"dropping-particle":"","family":"Vlieland","given":"Theodora P M Vliet","non-dropping-particle":"","parse-names":false,"suffix":""},{"dropping-particle":"","family":"Niedermann","given":"Karin","non-dropping-particle":"","parse-names":false,"suffix":""}],"container-title":"RMD Open","id":"ITEM-2","issued":{"date-parts":[["2018"]]},"title":"Effects of exercise and physical activity promotion : meta-analysis informing the 2018 EULAR recommendations for physical activity in people with rheumatoid arthritis , spondyloarthritis and hip / knee osteoarthritis","type":"article-journal"},"uris":["http://www.mendeley.com/documents/?uuid=374829fc-c159-43e9-a42b-8792f9283322"]}],"mendeley":{"formattedCitation":"(20,21)","plainTextFormattedCitation":"(20,21)","previouslyFormattedCitation":"(20,21)"},"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(20,21)</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xml:space="preserve">. </w:t>
      </w:r>
      <w:r w:rsidR="00F26711" w:rsidRPr="006F4ECB">
        <w:rPr>
          <w:rFonts w:ascii="Times New Roman" w:hAnsi="Times New Roman" w:cs="Times New Roman"/>
          <w:sz w:val="20"/>
          <w:szCs w:val="20"/>
        </w:rPr>
        <w:t xml:space="preserve">Cara pengukuran </w:t>
      </w:r>
      <w:r w:rsidR="00F26711">
        <w:rPr>
          <w:rFonts w:ascii="Times New Roman" w:hAnsi="Times New Roman" w:cs="Times New Roman"/>
          <w:sz w:val="20"/>
          <w:szCs w:val="20"/>
        </w:rPr>
        <w:t xml:space="preserve">edema </w:t>
      </w:r>
      <w:r w:rsidR="00F26711" w:rsidRPr="006F4ECB">
        <w:rPr>
          <w:rFonts w:ascii="Times New Roman" w:hAnsi="Times New Roman" w:cs="Times New Roman"/>
          <w:sz w:val="20"/>
          <w:szCs w:val="20"/>
        </w:rPr>
        <w:t xml:space="preserve">dengan memberi skor diameter lutut, skor 1 apabila diameter 0,1-2mm, skor 2 apabila 2,1-4,0mm, skor 3 apabila 4,1-6,0mm. Dari data tersebut lalu dilakukan perhitungan menggunakan statistik </w:t>
      </w:r>
      <w:r w:rsidR="00F26711" w:rsidRPr="006F4ECB">
        <w:rPr>
          <w:rFonts w:ascii="Times New Roman" w:hAnsi="Times New Roman" w:cs="Times New Roman"/>
          <w:sz w:val="20"/>
          <w:szCs w:val="20"/>
        </w:rPr>
        <w:fldChar w:fldCharType="begin" w:fldLock="1"/>
      </w:r>
      <w:r w:rsidR="00F26711" w:rsidRPr="006F4ECB">
        <w:rPr>
          <w:rFonts w:ascii="Times New Roman" w:hAnsi="Times New Roman" w:cs="Times New Roman"/>
          <w:sz w:val="20"/>
          <w:szCs w:val="20"/>
        </w:rPr>
        <w:instrText>ADDIN CSL_CITATION {"citationItems":[{"id":"ITEM-1","itemData":{"author":[{"dropping-particle":"","family":"Sciences","given":"Plant","non-dropping-particle":"","parse-names":false,"suffix":""},{"dropping-particle":"","family":"Khan","given":"H M","non-dropping-particle":"","parse-names":false,"suffix":""},{"dropping-particle":"","family":"Ashraf","given":"M","non-dropping-particle":"","parse-names":false,"suffix":""},{"dropping-particle":"","family":"Hashmi","given":"A S","non-dropping-particle":"","parse-names":false,"suffix":""},{"dropping-particle":"","family":"Ahmad","given":"M U D","non-dropping-particle":"","parse-names":false,"suffix":""},{"dropping-particle":"","family":"Anjum","given":"A A","non-dropping-particle":"","parse-names":false,"suffix":""},{"dropping-particle":"","family":"Road","given":"Jail","non-dropping-particle":"","parse-names":false,"suffix":""},{"dropping-particle":"","family":"Sciences","given":"Animal","non-dropping-particle":"","parse-names":false,"suffix":""}],"container-title":"the journal of animal and plant sciences","id":"ITEM-1","issue":"4","issued":{"date-parts":[["2012"]]},"page":"960-965","title":"CLINICAL ASSESSMENT OF EXPERIMENTALLY INDUCED OSTEOARTHRITIS RAT MODEL IN RELATION TO TIME","type":"article-journal","volume":"22"},"uris":["http://www.mendeley.com/documents/?uuid=f7d3b82e-840b-432e-85d5-4eb647902567"]}],"mendeley":{"formattedCitation":"(20)","plainTextFormattedCitation":"(20)","previouslyFormattedCitation":"(20)"},"properties":{"noteIndex":0},"schema":"https://github.com/citation-style-language/schema/raw/master/csl-citation.json"}</w:instrText>
      </w:r>
      <w:r w:rsidR="00F26711" w:rsidRPr="006F4ECB">
        <w:rPr>
          <w:rFonts w:ascii="Times New Roman" w:hAnsi="Times New Roman" w:cs="Times New Roman"/>
          <w:sz w:val="20"/>
          <w:szCs w:val="20"/>
        </w:rPr>
        <w:fldChar w:fldCharType="separate"/>
      </w:r>
      <w:r w:rsidR="00F26711" w:rsidRPr="006F4ECB">
        <w:rPr>
          <w:rFonts w:ascii="Times New Roman" w:hAnsi="Times New Roman" w:cs="Times New Roman"/>
          <w:noProof/>
          <w:sz w:val="20"/>
          <w:szCs w:val="20"/>
        </w:rPr>
        <w:t>(20)</w:t>
      </w:r>
      <w:r w:rsidR="00F26711" w:rsidRPr="006F4ECB">
        <w:rPr>
          <w:rFonts w:ascii="Times New Roman" w:hAnsi="Times New Roman" w:cs="Times New Roman"/>
          <w:sz w:val="20"/>
          <w:szCs w:val="20"/>
        </w:rPr>
        <w:fldChar w:fldCharType="end"/>
      </w:r>
      <w:r w:rsidR="00F26711" w:rsidRPr="006F4ECB">
        <w:rPr>
          <w:rFonts w:ascii="Times New Roman" w:hAnsi="Times New Roman" w:cs="Times New Roman"/>
          <w:sz w:val="20"/>
          <w:szCs w:val="20"/>
        </w:rPr>
        <w:t>.</w:t>
      </w:r>
    </w:p>
    <w:p w:rsidR="005531DB" w:rsidRPr="006F4ECB" w:rsidRDefault="005531DB" w:rsidP="006F4ECB">
      <w:pPr>
        <w:spacing w:after="0" w:line="240" w:lineRule="auto"/>
        <w:jc w:val="both"/>
        <w:rPr>
          <w:rFonts w:ascii="Times New Roman" w:hAnsi="Times New Roman" w:cs="Times New Roman"/>
          <w:color w:val="000000"/>
          <w:sz w:val="20"/>
          <w:szCs w:val="20"/>
        </w:rPr>
      </w:pPr>
    </w:p>
    <w:p w:rsidR="005531DB"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Kombinasi Dekokta Rimpang Jahe Merah dan Alang-alang (RJMA)</w:t>
      </w:r>
    </w:p>
    <w:p w:rsidR="005531DB"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color w:val="000000"/>
          <w:sz w:val="20"/>
          <w:szCs w:val="20"/>
        </w:rPr>
        <w:t xml:space="preserve">Kombinasi jahe merah dan alang-alang dibuat dengan cara dekoktasi. Dekoktasi adalah cara memanfaatkan herbal dengan di seduh. Air sebanyak 120ml direbus menggunakan panci hingga suhu 90’C. Setelah suhu mencapai 90’C ukur kembali menggunakan gelas ukur sebanyak 100ml lalu didihkan kembali hingga 90’C dan masukkan simplisia jahe merah lalu rebus selama 30 menit dengan diaduk setiap 5 menit. </w:t>
      </w:r>
      <w:r w:rsidR="00D047E5">
        <w:rPr>
          <w:rFonts w:ascii="Times New Roman" w:hAnsi="Times New Roman" w:cs="Times New Roman"/>
          <w:color w:val="000000"/>
          <w:sz w:val="20"/>
          <w:szCs w:val="20"/>
        </w:rPr>
        <w:t>Hal yang sama dilakukan pada simplisia alang-alang.</w:t>
      </w:r>
    </w:p>
    <w:p w:rsidR="005531DB"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color w:val="000000"/>
          <w:sz w:val="20"/>
          <w:szCs w:val="20"/>
        </w:rPr>
        <w:t xml:space="preserve">       Dosis jahe merah yang digunakan untuk OA adalah pada manusia yaitu 500mg, 1000mg, dan </w:t>
      </w:r>
      <w:r w:rsidRPr="006F4ECB">
        <w:rPr>
          <w:rFonts w:ascii="Times New Roman" w:hAnsi="Times New Roman" w:cs="Times New Roman"/>
          <w:color w:val="000000"/>
          <w:sz w:val="20"/>
          <w:szCs w:val="20"/>
        </w:rPr>
        <w:lastRenderedPageBreak/>
        <w:t xml:space="preserve">2000mg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DOI":"10.4103/0250-474X.58195","author":[{"dropping-particle":"","family":"Khushtar","given":"M","non-dropping-particle":"","parse-names":false,"suffix":""},{"dropping-particle":"","family":"Kumar","given":"V","non-dropping-particle":"","parse-names":false,"suffix":""},{"dropping-particle":"","family":"Javed","given":"K","non-dropping-particle":"","parse-names":false,"suffix":""},{"dropping-particle":"","family":"Bhandari","given":"Uma","non-dropping-particle":"","parse-names":false,"suffix":""}],"id":"ITEM-1","issue":"5","issued":{"date-parts":[["2015"]]},"page":"554-558","title":"Protective Effect of Ginger oil on Aspirin and Pylorus Ligation-Induced Gastric Ulcer model in Rats","type":"article-journal","volume":"71"},"uris":["http://www.mendeley.com/documents/?uuid=0448942f-e70e-4289-99c4-faf49f6662cd"]}],"mendeley":{"formattedCitation":"(22)","plainTextFormattedCitation":"(22)","previouslyFormattedCitation":"(22)"},"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(22)</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Oleh karena itu dilakukan pengkalian den</w:t>
      </w:r>
      <w:r w:rsidR="00D047E5">
        <w:rPr>
          <w:rFonts w:ascii="Times New Roman" w:hAnsi="Times New Roman" w:cs="Times New Roman"/>
          <w:color w:val="000000"/>
          <w:sz w:val="20"/>
          <w:szCs w:val="20"/>
        </w:rPr>
        <w:t>gan faktor konfersinya yaitu 0,</w:t>
      </w:r>
      <w:r w:rsidRPr="006F4ECB">
        <w:rPr>
          <w:rFonts w:ascii="Times New Roman" w:hAnsi="Times New Roman" w:cs="Times New Roman"/>
          <w:color w:val="000000"/>
          <w:sz w:val="20"/>
          <w:szCs w:val="20"/>
        </w:rPr>
        <w:t xml:space="preserve">018 untuk mengubah menjadi dosis tikus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{"citationItems":[{"id":"ITEM-1","itemData":{"author":[{"dropping-particle":"","family":"Laurence","given":"D R","non-dropping-particle":"","parse-names":false,"suffix":""},{"dropping-particle":"","family":"Bacharach","given":"A. L.","non-dropping-particle":"","parse-names":false,"suffix":""}],"id":"ITEM-1","issued":{"date-parts":[["1964"]]},"title":"Evaluation of Drug Activities 1st edition","type":"book"},"uris":["http://www.mendeley.com/documents/?uuid=cb9754f1-19ea-4ae8-8d1c-0ff6cb2ca805"]}],"mendeley":{"formattedCitation":"(23)","plainTextFormattedCitation":"(23)","previouslyFormattedCitation":"(23)"},"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(23)</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Sehingga dalam</w:t>
      </w:r>
      <w:r w:rsidRPr="006F4ECB">
        <w:rPr>
          <w:rFonts w:ascii="Times New Roman" w:hAnsi="Times New Roman" w:cs="Times New Roman"/>
          <w:color w:val="000000"/>
          <w:sz w:val="20"/>
          <w:szCs w:val="20"/>
          <w:lang w:val="en-US"/>
        </w:rPr>
        <w:t xml:space="preserve"> </w:t>
      </w:r>
      <w:r w:rsidRPr="006F4ECB">
        <w:rPr>
          <w:rFonts w:ascii="Times New Roman" w:hAnsi="Times New Roman" w:cs="Times New Roman"/>
          <w:color w:val="000000"/>
          <w:sz w:val="20"/>
          <w:szCs w:val="20"/>
        </w:rPr>
        <w:t xml:space="preserve">1 ml didapatkan dosis jahe merah 9mg, 18mg, dan 36mg. Dosis alang-alang yang digunakan untuk tikus didasarkan pada penelitian sebelumnya sebagai anti-piretik sebesar 40mg </w:t>
      </w:r>
      <w:r w:rsidRPr="006F4ECB">
        <w:rPr>
          <w:rFonts w:ascii="Times New Roman" w:hAnsi="Times New Roman" w:cs="Times New Roman"/>
          <w:color w:val="000000"/>
          <w:sz w:val="20"/>
          <w:szCs w:val="20"/>
        </w:rPr>
        <w:fldChar w:fldCharType="begin" w:fldLock="1"/>
      </w:r>
      <w:r w:rsidRPr="006F4ECB">
        <w:rPr>
          <w:rFonts w:ascii="Times New Roman" w:hAnsi="Times New Roman" w:cs="Times New Roman"/>
          <w:color w:val="000000"/>
          <w:sz w:val="20"/>
          <w:szCs w:val="20"/>
        </w:rPr>
        <w:instrText>ADDIN CSL_CITATION {"citationItems":[{"id":"ITEM-1","itemData":{"author":[{"dropping-particle":"","family":"Jaya","given":"Antonius Satrya","non-dropping-particle":"","parse-names":false,"suffix":""}],"id":"ITEM-1","issued":{"date-parts":[["2007"]]},"title":"Efek Antipiretik Infusum Batang Alang-Alang","type":"article-journal"},"uris":["http://www.mendeley.com/documents/?uuid=abad8acd-b3ff-4ce1-bcf9-1b60aa3dc665"]}],"mendeley":{"formattedCitation":"(24)","plainTextFormattedCitation":"(24)","previouslyFormattedCitation":"(24)"},"properties":{"noteIndex":0},"schema":"https://github.com/citation-style-language/schema/raw/master/csl-citation.json"}</w:instrText>
      </w:r>
      <w:r w:rsidRPr="006F4ECB">
        <w:rPr>
          <w:rFonts w:ascii="Times New Roman" w:hAnsi="Times New Roman" w:cs="Times New Roman"/>
          <w:color w:val="000000"/>
          <w:sz w:val="20"/>
          <w:szCs w:val="20"/>
        </w:rPr>
        <w:fldChar w:fldCharType="separate"/>
      </w:r>
      <w:r w:rsidRPr="006F4ECB">
        <w:rPr>
          <w:rFonts w:ascii="Times New Roman" w:hAnsi="Times New Roman" w:cs="Times New Roman"/>
          <w:noProof/>
          <w:color w:val="000000"/>
          <w:sz w:val="20"/>
          <w:szCs w:val="20"/>
        </w:rPr>
        <w:t>(24)</w:t>
      </w:r>
      <w:r w:rsidRPr="006F4ECB">
        <w:rPr>
          <w:rFonts w:ascii="Times New Roman" w:hAnsi="Times New Roman" w:cs="Times New Roman"/>
          <w:color w:val="000000"/>
          <w:sz w:val="20"/>
          <w:szCs w:val="20"/>
        </w:rPr>
        <w:fldChar w:fldCharType="end"/>
      </w:r>
      <w:r w:rsidRPr="006F4ECB">
        <w:rPr>
          <w:rFonts w:ascii="Times New Roman" w:hAnsi="Times New Roman" w:cs="Times New Roman"/>
          <w:color w:val="000000"/>
          <w:sz w:val="20"/>
          <w:szCs w:val="20"/>
        </w:rPr>
        <w:t xml:space="preserve">. </w:t>
      </w:r>
      <w:r w:rsidR="00D047E5">
        <w:rPr>
          <w:rFonts w:ascii="Times New Roman" w:hAnsi="Times New Roman" w:cs="Times New Roman"/>
          <w:color w:val="000000"/>
          <w:sz w:val="20"/>
          <w:szCs w:val="20"/>
        </w:rPr>
        <w:t>Maka dosis</w:t>
      </w:r>
      <w:r w:rsidRPr="006F4ECB">
        <w:rPr>
          <w:rFonts w:ascii="Times New Roman" w:hAnsi="Times New Roman" w:cs="Times New Roman"/>
          <w:color w:val="000000"/>
          <w:sz w:val="20"/>
          <w:szCs w:val="20"/>
        </w:rPr>
        <w:t xml:space="preserve"> kombi</w:t>
      </w:r>
      <w:r w:rsidR="00D047E5">
        <w:rPr>
          <w:rFonts w:ascii="Times New Roman" w:hAnsi="Times New Roman" w:cs="Times New Roman"/>
          <w:color w:val="000000"/>
          <w:sz w:val="20"/>
          <w:szCs w:val="20"/>
        </w:rPr>
        <w:t>nasi dekokta RJMA sebanyak P1(9+40mg/hari), P2(18</w:t>
      </w:r>
      <w:r w:rsidRPr="006F4ECB">
        <w:rPr>
          <w:rFonts w:ascii="Times New Roman" w:hAnsi="Times New Roman" w:cs="Times New Roman"/>
          <w:color w:val="000000"/>
          <w:sz w:val="20"/>
          <w:szCs w:val="20"/>
        </w:rPr>
        <w:t>+40</w:t>
      </w:r>
      <w:r w:rsidR="00D047E5">
        <w:rPr>
          <w:rFonts w:ascii="Times New Roman" w:hAnsi="Times New Roman" w:cs="Times New Roman"/>
          <w:color w:val="000000"/>
          <w:sz w:val="20"/>
          <w:szCs w:val="20"/>
        </w:rPr>
        <w:t>mg/hari), P3(36+40</w:t>
      </w:r>
      <w:r w:rsidRPr="006F4ECB">
        <w:rPr>
          <w:rFonts w:ascii="Times New Roman" w:hAnsi="Times New Roman" w:cs="Times New Roman"/>
          <w:color w:val="000000"/>
          <w:sz w:val="20"/>
          <w:szCs w:val="20"/>
        </w:rPr>
        <w:t>mg/hari). Volume kombinasi dekokta RJMA yang diberikan pertikus adalah 2ml dan kombinasi dekokta RJMA tersebut diberikan selama 10 hari setelah gejala muncul pasca injeksi CFA.</w:t>
      </w:r>
    </w:p>
    <w:p w:rsidR="005531DB" w:rsidRPr="006F4ECB" w:rsidRDefault="005531DB" w:rsidP="006F4ECB">
      <w:pPr>
        <w:spacing w:after="0" w:line="240" w:lineRule="auto"/>
        <w:jc w:val="both"/>
        <w:rPr>
          <w:rFonts w:ascii="Times New Roman" w:hAnsi="Times New Roman" w:cs="Times New Roman"/>
          <w:color w:val="000000"/>
          <w:sz w:val="20"/>
          <w:szCs w:val="20"/>
        </w:rPr>
      </w:pPr>
    </w:p>
    <w:p w:rsidR="005531DB"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 xml:space="preserve">Pengambilan Sampel Darah </w:t>
      </w:r>
    </w:p>
    <w:p w:rsidR="005531D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color w:val="000000"/>
          <w:sz w:val="20"/>
          <w:szCs w:val="20"/>
        </w:rPr>
        <w:t xml:space="preserve">Pengambilan sampel darah dan serum dilakukan dengan </w:t>
      </w:r>
      <w:r w:rsidRPr="006F4ECB">
        <w:rPr>
          <w:rFonts w:ascii="Times New Roman" w:hAnsi="Times New Roman" w:cs="Times New Roman"/>
          <w:i/>
          <w:color w:val="000000"/>
          <w:sz w:val="20"/>
          <w:szCs w:val="20"/>
        </w:rPr>
        <w:t>cardiac puncture</w:t>
      </w:r>
      <w:r w:rsidRPr="006F4ECB">
        <w:rPr>
          <w:rFonts w:ascii="Times New Roman" w:hAnsi="Times New Roman" w:cs="Times New Roman"/>
          <w:color w:val="000000"/>
          <w:sz w:val="20"/>
          <w:szCs w:val="20"/>
        </w:rPr>
        <w:t xml:space="preserve"> dengan menganastesi tikus menggunakan ketamin 0,1ml/100grBB. Jika tikus sudah tidak aktif bergerak, fiksasi tikus dalam keadaan terlentang diatas meja bedah. Bedah tikus pada daerah abdomen secara perlahan dan gunting mengarah ke kanan dan kiri. Ambil darah tepat di jantung menggunakan spuit posisi tegak lurus lalu simpan pada vacutainer. Untuk analisa IL-1β menggunakan serum sehingga simpan darah di vacutainer tanpa </w:t>
      </w:r>
      <w:r w:rsidRPr="006F4ECB">
        <w:rPr>
          <w:rFonts w:ascii="Times New Roman" w:hAnsi="Times New Roman" w:cs="Times New Roman"/>
          <w:i/>
          <w:color w:val="000000"/>
          <w:sz w:val="20"/>
          <w:szCs w:val="20"/>
        </w:rPr>
        <w:t xml:space="preserve">Ethylenediaminetetraacetic acid </w:t>
      </w:r>
      <w:r w:rsidRPr="006F4ECB">
        <w:rPr>
          <w:rFonts w:ascii="Times New Roman" w:hAnsi="Times New Roman" w:cs="Times New Roman"/>
          <w:color w:val="000000"/>
          <w:sz w:val="20"/>
          <w:szCs w:val="20"/>
        </w:rPr>
        <w:t>(EDTA) lalu sentrifugasi. Untuk analisa jumlah leukosit menggunakan sampel darah sehingga s</w:t>
      </w:r>
      <w:r w:rsidR="00D047E5">
        <w:rPr>
          <w:rFonts w:ascii="Times New Roman" w:hAnsi="Times New Roman" w:cs="Times New Roman"/>
          <w:color w:val="000000"/>
          <w:sz w:val="20"/>
          <w:szCs w:val="20"/>
        </w:rPr>
        <w:t xml:space="preserve">impan di vacutainer berisi EDTA. </w:t>
      </w:r>
    </w:p>
    <w:p w:rsidR="00D047E5" w:rsidRPr="006F4ECB" w:rsidRDefault="00D047E5" w:rsidP="006F4ECB">
      <w:pPr>
        <w:spacing w:after="0" w:line="240" w:lineRule="auto"/>
        <w:jc w:val="both"/>
        <w:rPr>
          <w:rFonts w:ascii="Times New Roman" w:hAnsi="Times New Roman" w:cs="Times New Roman"/>
          <w:color w:val="000000"/>
          <w:sz w:val="20"/>
          <w:szCs w:val="20"/>
        </w:rPr>
      </w:pPr>
    </w:p>
    <w:p w:rsidR="004D2392"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Pemeriksaan Kadar IL-1β Serum</w:t>
      </w:r>
    </w:p>
    <w:p w:rsidR="004D2392" w:rsidRPr="006F4ECB" w:rsidRDefault="005531DB"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color w:val="000000"/>
          <w:sz w:val="20"/>
          <w:szCs w:val="20"/>
        </w:rPr>
        <w:t>Pemeriksaan kadar IL-1β menggunakan</w:t>
      </w:r>
      <w:r w:rsidR="004D2392" w:rsidRPr="006F4ECB">
        <w:rPr>
          <w:rFonts w:ascii="Times New Roman" w:hAnsi="Times New Roman" w:cs="Times New Roman"/>
          <w:color w:val="000000"/>
          <w:sz w:val="20"/>
          <w:szCs w:val="20"/>
        </w:rPr>
        <w:t xml:space="preserve"> sampel serum </w:t>
      </w:r>
      <w:r w:rsidR="00D047E5">
        <w:rPr>
          <w:rFonts w:ascii="Times New Roman" w:hAnsi="Times New Roman" w:cs="Times New Roman"/>
          <w:color w:val="000000"/>
          <w:sz w:val="20"/>
          <w:szCs w:val="20"/>
        </w:rPr>
        <w:t xml:space="preserve">dan dianalisa </w:t>
      </w:r>
      <w:r w:rsidR="004D2392" w:rsidRPr="006F4ECB">
        <w:rPr>
          <w:rFonts w:ascii="Times New Roman" w:hAnsi="Times New Roman" w:cs="Times New Roman"/>
          <w:color w:val="000000"/>
          <w:sz w:val="20"/>
          <w:szCs w:val="20"/>
        </w:rPr>
        <w:t>dengan alat</w:t>
      </w:r>
      <w:r w:rsidRPr="006F4ECB">
        <w:rPr>
          <w:rFonts w:ascii="Times New Roman" w:hAnsi="Times New Roman" w:cs="Times New Roman"/>
          <w:color w:val="000000"/>
          <w:sz w:val="20"/>
          <w:szCs w:val="20"/>
        </w:rPr>
        <w:t xml:space="preserve"> </w:t>
      </w:r>
      <w:r w:rsidR="004D2392" w:rsidRPr="006F4ECB">
        <w:rPr>
          <w:rFonts w:ascii="Times New Roman" w:hAnsi="Times New Roman" w:cs="Times New Roman"/>
          <w:i/>
          <w:color w:val="000000"/>
          <w:sz w:val="20"/>
          <w:szCs w:val="20"/>
        </w:rPr>
        <w:t xml:space="preserve">Rat </w:t>
      </w:r>
      <w:r w:rsidRPr="006F4ECB">
        <w:rPr>
          <w:rFonts w:ascii="Times New Roman" w:hAnsi="Times New Roman" w:cs="Times New Roman"/>
          <w:i/>
          <w:color w:val="000000"/>
          <w:sz w:val="20"/>
          <w:szCs w:val="20"/>
        </w:rPr>
        <w:t xml:space="preserve">IL-1β </w:t>
      </w:r>
      <w:r w:rsidR="004D2392" w:rsidRPr="006F4ECB">
        <w:rPr>
          <w:rFonts w:ascii="Times New Roman" w:hAnsi="Times New Roman" w:cs="Times New Roman"/>
          <w:i/>
          <w:color w:val="000000"/>
          <w:sz w:val="20"/>
          <w:szCs w:val="20"/>
        </w:rPr>
        <w:t>ELISA</w:t>
      </w:r>
      <w:r w:rsidRPr="006F4ECB">
        <w:rPr>
          <w:rFonts w:ascii="Times New Roman" w:hAnsi="Times New Roman" w:cs="Times New Roman"/>
          <w:i/>
          <w:color w:val="000000"/>
          <w:sz w:val="20"/>
          <w:szCs w:val="20"/>
        </w:rPr>
        <w:t xml:space="preserve"> Kit</w:t>
      </w:r>
      <w:r w:rsidRPr="006F4ECB">
        <w:rPr>
          <w:rFonts w:ascii="Times New Roman" w:hAnsi="Times New Roman" w:cs="Times New Roman"/>
          <w:color w:val="000000"/>
          <w:sz w:val="20"/>
          <w:szCs w:val="20"/>
        </w:rPr>
        <w:t xml:space="preserve"> </w:t>
      </w:r>
      <w:r w:rsidR="004D2392" w:rsidRPr="006F4ECB">
        <w:rPr>
          <w:rFonts w:ascii="Times New Roman" w:hAnsi="Times New Roman" w:cs="Times New Roman"/>
          <w:color w:val="000000"/>
          <w:sz w:val="20"/>
          <w:szCs w:val="20"/>
        </w:rPr>
        <w:t xml:space="preserve">dari </w:t>
      </w:r>
      <w:r w:rsidR="004D2392" w:rsidRPr="006F4ECB">
        <w:rPr>
          <w:rFonts w:ascii="Times New Roman" w:hAnsi="Times New Roman" w:cs="Times New Roman"/>
          <w:i/>
          <w:color w:val="000000"/>
          <w:sz w:val="20"/>
          <w:szCs w:val="20"/>
        </w:rPr>
        <w:t xml:space="preserve">Bioassay Technology Laboratory </w:t>
      </w:r>
      <w:r w:rsidR="004D2392" w:rsidRPr="006F4ECB">
        <w:rPr>
          <w:rFonts w:ascii="Times New Roman" w:hAnsi="Times New Roman" w:cs="Times New Roman"/>
          <w:color w:val="000000"/>
          <w:sz w:val="20"/>
          <w:szCs w:val="20"/>
        </w:rPr>
        <w:t>pada</w:t>
      </w:r>
      <w:r w:rsidRPr="006F4ECB">
        <w:rPr>
          <w:rFonts w:ascii="Times New Roman" w:hAnsi="Times New Roman" w:cs="Times New Roman"/>
          <w:color w:val="000000"/>
          <w:sz w:val="20"/>
          <w:szCs w:val="20"/>
        </w:rPr>
        <w:t xml:space="preserve"> panjang gelombang 450nm </w:t>
      </w:r>
    </w:p>
    <w:p w:rsidR="008A6268" w:rsidRPr="006F4ECB" w:rsidRDefault="008A6268" w:rsidP="006F4ECB">
      <w:pPr>
        <w:spacing w:after="0" w:line="240" w:lineRule="auto"/>
        <w:jc w:val="both"/>
        <w:rPr>
          <w:rFonts w:ascii="Times New Roman" w:hAnsi="Times New Roman" w:cs="Times New Roman"/>
          <w:color w:val="000000"/>
          <w:sz w:val="20"/>
          <w:szCs w:val="20"/>
        </w:rPr>
      </w:pPr>
    </w:p>
    <w:p w:rsidR="00D047E5" w:rsidRDefault="00D047E5" w:rsidP="006F4ECB">
      <w:pPr>
        <w:spacing w:after="0" w:line="240" w:lineRule="auto"/>
        <w:jc w:val="both"/>
        <w:rPr>
          <w:rFonts w:ascii="Times New Roman" w:hAnsi="Times New Roman" w:cs="Times New Roman"/>
          <w:b/>
          <w:color w:val="000000"/>
          <w:sz w:val="20"/>
          <w:szCs w:val="20"/>
        </w:rPr>
      </w:pPr>
    </w:p>
    <w:p w:rsidR="00D047E5" w:rsidRDefault="00D047E5" w:rsidP="006F4ECB">
      <w:pPr>
        <w:spacing w:after="0" w:line="240" w:lineRule="auto"/>
        <w:jc w:val="both"/>
        <w:rPr>
          <w:rFonts w:ascii="Times New Roman" w:hAnsi="Times New Roman" w:cs="Times New Roman"/>
          <w:b/>
          <w:color w:val="000000"/>
          <w:sz w:val="20"/>
          <w:szCs w:val="20"/>
        </w:rPr>
      </w:pPr>
    </w:p>
    <w:p w:rsidR="004D2392" w:rsidRPr="006F4ECB" w:rsidRDefault="004D2392"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 xml:space="preserve">Pemeriksaan Jumlah Leukosit </w:t>
      </w:r>
    </w:p>
    <w:p w:rsidR="005531DB" w:rsidRPr="006F4ECB" w:rsidRDefault="004D2392" w:rsidP="006F4ECB">
      <w:pPr>
        <w:spacing w:after="0" w:line="240" w:lineRule="auto"/>
        <w:jc w:val="both"/>
        <w:rPr>
          <w:rFonts w:ascii="Times New Roman" w:hAnsi="Times New Roman" w:cs="Times New Roman"/>
          <w:color w:val="000000"/>
          <w:sz w:val="20"/>
          <w:szCs w:val="20"/>
        </w:rPr>
      </w:pPr>
      <w:r w:rsidRPr="006F4ECB">
        <w:rPr>
          <w:rFonts w:ascii="Times New Roman" w:hAnsi="Times New Roman" w:cs="Times New Roman"/>
          <w:color w:val="000000"/>
          <w:sz w:val="20"/>
          <w:szCs w:val="20"/>
        </w:rPr>
        <w:lastRenderedPageBreak/>
        <w:t xml:space="preserve">       P</w:t>
      </w:r>
      <w:r w:rsidR="005531DB" w:rsidRPr="006F4ECB">
        <w:rPr>
          <w:rFonts w:ascii="Times New Roman" w:hAnsi="Times New Roman" w:cs="Times New Roman"/>
          <w:color w:val="000000"/>
          <w:sz w:val="20"/>
          <w:szCs w:val="20"/>
        </w:rPr>
        <w:t xml:space="preserve">emeriksaan jumlah leukosit menggunakan alat </w:t>
      </w:r>
      <w:r w:rsidR="005531DB" w:rsidRPr="006F4ECB">
        <w:rPr>
          <w:rFonts w:ascii="Times New Roman" w:hAnsi="Times New Roman" w:cs="Times New Roman"/>
          <w:i/>
          <w:color w:val="000000"/>
          <w:sz w:val="20"/>
          <w:szCs w:val="20"/>
        </w:rPr>
        <w:t>hematologyanalizer 3 diff</w:t>
      </w:r>
      <w:r w:rsidR="005531DB" w:rsidRPr="006F4ECB">
        <w:rPr>
          <w:rFonts w:ascii="Times New Roman" w:hAnsi="Times New Roman" w:cs="Times New Roman"/>
          <w:color w:val="000000"/>
          <w:sz w:val="20"/>
          <w:szCs w:val="20"/>
        </w:rPr>
        <w:t xml:space="preserve">. </w:t>
      </w:r>
      <w:r w:rsidRPr="006F4ECB">
        <w:rPr>
          <w:rFonts w:ascii="Times New Roman" w:hAnsi="Times New Roman" w:cs="Times New Roman"/>
          <w:color w:val="000000"/>
          <w:sz w:val="20"/>
          <w:szCs w:val="20"/>
        </w:rPr>
        <w:t>Sampel yang digunakan adalah darah t</w:t>
      </w:r>
      <w:r w:rsidR="00D047E5">
        <w:rPr>
          <w:rFonts w:ascii="Times New Roman" w:hAnsi="Times New Roman" w:cs="Times New Roman"/>
          <w:color w:val="000000"/>
          <w:sz w:val="20"/>
          <w:szCs w:val="20"/>
        </w:rPr>
        <w:t>ikus yang diberi anti-koagulan dan diperiksa pada hari yang sama setelah pembedahan.</w:t>
      </w:r>
    </w:p>
    <w:p w:rsidR="005531DB" w:rsidRPr="006F4ECB" w:rsidRDefault="005531DB" w:rsidP="006F4ECB">
      <w:pPr>
        <w:spacing w:after="0" w:line="240" w:lineRule="auto"/>
        <w:jc w:val="both"/>
        <w:rPr>
          <w:rFonts w:ascii="Times New Roman" w:hAnsi="Times New Roman" w:cs="Times New Roman"/>
          <w:color w:val="000000"/>
          <w:sz w:val="20"/>
          <w:szCs w:val="20"/>
        </w:rPr>
      </w:pPr>
    </w:p>
    <w:p w:rsidR="005531DB" w:rsidRPr="006F4ECB" w:rsidRDefault="005531DB" w:rsidP="006F4ECB">
      <w:pPr>
        <w:spacing w:after="0" w:line="240" w:lineRule="auto"/>
        <w:jc w:val="both"/>
        <w:rPr>
          <w:rFonts w:ascii="Times New Roman" w:hAnsi="Times New Roman" w:cs="Times New Roman"/>
          <w:b/>
          <w:color w:val="000000"/>
          <w:sz w:val="20"/>
          <w:szCs w:val="20"/>
        </w:rPr>
      </w:pPr>
      <w:r w:rsidRPr="006F4ECB">
        <w:rPr>
          <w:rFonts w:ascii="Times New Roman" w:hAnsi="Times New Roman" w:cs="Times New Roman"/>
          <w:b/>
          <w:color w:val="000000"/>
          <w:sz w:val="20"/>
          <w:szCs w:val="20"/>
        </w:rPr>
        <w:t>Teknik Analisa Data</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color w:val="000000"/>
          <w:sz w:val="20"/>
          <w:szCs w:val="20"/>
        </w:rPr>
        <w:t xml:space="preserve">       </w:t>
      </w:r>
      <w:r w:rsidRPr="006F4ECB">
        <w:rPr>
          <w:rFonts w:ascii="Times New Roman" w:hAnsi="Times New Roman" w:cs="Times New Roman"/>
          <w:sz w:val="20"/>
          <w:szCs w:val="20"/>
        </w:rPr>
        <w:t xml:space="preserve">Pengujian hipotesis dilakukan dengan menggunakan metode uji </w:t>
      </w:r>
      <w:r w:rsidRPr="006F4ECB">
        <w:rPr>
          <w:rFonts w:ascii="Times New Roman" w:hAnsi="Times New Roman" w:cs="Times New Roman"/>
          <w:i/>
          <w:sz w:val="20"/>
          <w:szCs w:val="20"/>
        </w:rPr>
        <w:t xml:space="preserve">One Way Analysis Of Varians </w:t>
      </w:r>
      <w:r w:rsidRPr="006F4ECB">
        <w:rPr>
          <w:rFonts w:ascii="Times New Roman" w:hAnsi="Times New Roman" w:cs="Times New Roman"/>
          <w:sz w:val="20"/>
          <w:szCs w:val="20"/>
        </w:rPr>
        <w:t>(ANOVA)</w:t>
      </w:r>
      <w:r w:rsidRPr="006F4ECB">
        <w:rPr>
          <w:rFonts w:ascii="Times New Roman" w:hAnsi="Times New Roman" w:cs="Times New Roman"/>
          <w:i/>
          <w:sz w:val="20"/>
          <w:szCs w:val="20"/>
        </w:rPr>
        <w:t xml:space="preserve"> </w:t>
      </w:r>
      <w:r w:rsidRPr="006F4ECB">
        <w:rPr>
          <w:rFonts w:ascii="Times New Roman" w:hAnsi="Times New Roman" w:cs="Times New Roman"/>
          <w:sz w:val="20"/>
          <w:szCs w:val="20"/>
        </w:rPr>
        <w:t xml:space="preserve"> dengan cara membandingkan masing-masing grup berdasarkan hasil yang didapat. Apabila p&lt;0,05 maka hasil signifikan dan perlu dilakukan uji lanjut yaitu </w:t>
      </w:r>
      <w:r w:rsidRPr="006F4ECB">
        <w:rPr>
          <w:rFonts w:ascii="Times New Roman" w:hAnsi="Times New Roman" w:cs="Times New Roman"/>
          <w:i/>
          <w:sz w:val="20"/>
          <w:szCs w:val="20"/>
        </w:rPr>
        <w:t>post hoc test</w:t>
      </w:r>
      <w:r w:rsidRPr="006F4ECB">
        <w:rPr>
          <w:rFonts w:ascii="Times New Roman" w:hAnsi="Times New Roman" w:cs="Times New Roman"/>
          <w:sz w:val="20"/>
          <w:szCs w:val="20"/>
        </w:rPr>
        <w:t xml:space="preserve"> untuk mengetahui bagaimana struktur perbedaan antar perlakuan. Uji lanjut yang dilakukan adalah uji </w:t>
      </w:r>
      <w:r w:rsidRPr="006F4ECB">
        <w:rPr>
          <w:rFonts w:ascii="Times New Roman" w:hAnsi="Times New Roman" w:cs="Times New Roman"/>
          <w:i/>
          <w:sz w:val="20"/>
          <w:szCs w:val="20"/>
        </w:rPr>
        <w:t>Least Significance Different</w:t>
      </w:r>
      <w:r w:rsidRPr="006F4ECB">
        <w:rPr>
          <w:rFonts w:ascii="Times New Roman" w:hAnsi="Times New Roman" w:cs="Times New Roman"/>
          <w:sz w:val="20"/>
          <w:szCs w:val="20"/>
        </w:rPr>
        <w:t xml:space="preserve"> (LSD) untuk menentukan ada tidaknya perbedaan pada setiap perlakuan. Program </w:t>
      </w:r>
      <w:r w:rsidRPr="006F4ECB">
        <w:rPr>
          <w:rFonts w:ascii="Times New Roman" w:hAnsi="Times New Roman" w:cs="Times New Roman"/>
          <w:i/>
          <w:sz w:val="20"/>
          <w:szCs w:val="20"/>
        </w:rPr>
        <w:t xml:space="preserve">Statistical Product and Service Solutions </w:t>
      </w:r>
      <w:r w:rsidRPr="006F4ECB">
        <w:rPr>
          <w:rFonts w:ascii="Times New Roman" w:hAnsi="Times New Roman" w:cs="Times New Roman"/>
          <w:sz w:val="20"/>
          <w:szCs w:val="20"/>
        </w:rPr>
        <w:t>(SPPS) diguakan untuk uji statistik.</w:t>
      </w:r>
    </w:p>
    <w:p w:rsidR="005531DB" w:rsidRPr="006F4ECB" w:rsidRDefault="005531DB" w:rsidP="006F4ECB">
      <w:pPr>
        <w:spacing w:after="0" w:line="240" w:lineRule="auto"/>
        <w:jc w:val="both"/>
        <w:rPr>
          <w:rFonts w:ascii="Times New Roman" w:hAnsi="Times New Roman" w:cs="Times New Roman"/>
          <w:sz w:val="20"/>
          <w:szCs w:val="20"/>
        </w:rPr>
      </w:pPr>
    </w:p>
    <w:p w:rsidR="005531DB" w:rsidRPr="00980B93" w:rsidRDefault="005531DB" w:rsidP="006F4ECB">
      <w:pPr>
        <w:spacing w:after="0" w:line="240" w:lineRule="auto"/>
        <w:jc w:val="both"/>
        <w:rPr>
          <w:rFonts w:ascii="Times New Roman" w:hAnsi="Times New Roman" w:cs="Times New Roman"/>
          <w:b/>
          <w:sz w:val="28"/>
          <w:szCs w:val="28"/>
        </w:rPr>
      </w:pPr>
      <w:r w:rsidRPr="00980B93">
        <w:rPr>
          <w:rFonts w:ascii="Times New Roman" w:hAnsi="Times New Roman" w:cs="Times New Roman"/>
          <w:b/>
          <w:sz w:val="28"/>
          <w:szCs w:val="28"/>
        </w:rPr>
        <w:t>HASIL DAN ANALISA DATA</w:t>
      </w:r>
    </w:p>
    <w:p w:rsidR="005531DB" w:rsidRPr="006F4ECB" w:rsidRDefault="005531DB" w:rsidP="006F4ECB">
      <w:pPr>
        <w:spacing w:after="0" w:line="240" w:lineRule="auto"/>
        <w:jc w:val="both"/>
        <w:rPr>
          <w:rFonts w:ascii="Times New Roman" w:hAnsi="Times New Roman" w:cs="Times New Roman"/>
          <w:b/>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Hasil Pengukuran Edema Lutut Kaki Kanan Tikus</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Efek kombinasi dekokta </w:t>
      </w:r>
      <w:r w:rsidR="008832B7" w:rsidRPr="006F4ECB">
        <w:rPr>
          <w:rFonts w:ascii="Times New Roman" w:hAnsi="Times New Roman" w:cs="Times New Roman"/>
          <w:sz w:val="20"/>
          <w:szCs w:val="20"/>
        </w:rPr>
        <w:t xml:space="preserve">RJMA </w:t>
      </w:r>
      <w:r w:rsidRPr="006F4ECB">
        <w:rPr>
          <w:rFonts w:ascii="Times New Roman" w:hAnsi="Times New Roman" w:cs="Times New Roman"/>
          <w:sz w:val="20"/>
          <w:szCs w:val="20"/>
        </w:rPr>
        <w:t xml:space="preserve"> terhadap pengukuran edema lutut pada kaki kanan tikus dapat dilihat di </w:t>
      </w:r>
      <w:r w:rsidRPr="006F4ECB">
        <w:rPr>
          <w:rFonts w:ascii="Times New Roman" w:hAnsi="Times New Roman" w:cs="Times New Roman"/>
          <w:b/>
          <w:sz w:val="20"/>
          <w:szCs w:val="20"/>
        </w:rPr>
        <w:t>tabel 5.1</w:t>
      </w:r>
      <w:r w:rsidR="008B2125">
        <w:rPr>
          <w:rFonts w:ascii="Times New Roman" w:hAnsi="Times New Roman" w:cs="Times New Roman"/>
          <w:sz w:val="20"/>
          <w:szCs w:val="20"/>
        </w:rPr>
        <w:t>. H</w:t>
      </w:r>
      <w:r w:rsidRPr="006F4ECB">
        <w:rPr>
          <w:rFonts w:ascii="Times New Roman" w:hAnsi="Times New Roman" w:cs="Times New Roman"/>
          <w:sz w:val="20"/>
          <w:szCs w:val="20"/>
        </w:rPr>
        <w:t xml:space="preserve">asil pengukuran </w:t>
      </w:r>
      <w:r w:rsidR="005843BD">
        <w:rPr>
          <w:rFonts w:ascii="Times New Roman" w:hAnsi="Times New Roman" w:cs="Times New Roman"/>
          <w:sz w:val="20"/>
          <w:szCs w:val="20"/>
        </w:rPr>
        <w:t>edema lutut pada hari ke 5 dan 10</w:t>
      </w:r>
      <w:r w:rsidRPr="006F4ECB">
        <w:rPr>
          <w:rFonts w:ascii="Times New Roman" w:hAnsi="Times New Roman" w:cs="Times New Roman"/>
          <w:sz w:val="20"/>
          <w:szCs w:val="20"/>
        </w:rPr>
        <w:t xml:space="preserve"> setelah injeksi CFA pada </w:t>
      </w:r>
      <w:r w:rsidRPr="006F4ECB">
        <w:rPr>
          <w:rFonts w:ascii="Times New Roman" w:eastAsiaTheme="minorEastAsia" w:hAnsi="Times New Roman" w:cs="Times New Roman"/>
          <w:sz w:val="20"/>
          <w:szCs w:val="20"/>
        </w:rPr>
        <w:t>KP,</w:t>
      </w:r>
      <w:r w:rsidRPr="006F4ECB">
        <w:rPr>
          <w:rFonts w:ascii="Times New Roman" w:eastAsiaTheme="minorEastAsia" w:hAnsi="Times New Roman" w:cs="Times New Roman"/>
          <w:sz w:val="20"/>
          <w:szCs w:val="20"/>
          <w:lang w:val="en-US"/>
        </w:rPr>
        <w:t xml:space="preserve"> P1,</w:t>
      </w:r>
      <w:r w:rsidRPr="006F4ECB">
        <w:rPr>
          <w:rFonts w:ascii="Times New Roman" w:eastAsiaTheme="minorEastAsia" w:hAnsi="Times New Roman" w:cs="Times New Roman"/>
          <w:sz w:val="20"/>
          <w:szCs w:val="20"/>
        </w:rPr>
        <w:t xml:space="preserve"> </w:t>
      </w:r>
      <w:r w:rsidRPr="006F4ECB">
        <w:rPr>
          <w:rFonts w:ascii="Times New Roman" w:eastAsiaTheme="minorEastAsia" w:hAnsi="Times New Roman" w:cs="Times New Roman"/>
          <w:sz w:val="20"/>
          <w:szCs w:val="20"/>
          <w:lang w:val="en-US"/>
        </w:rPr>
        <w:t xml:space="preserve">P2, </w:t>
      </w:r>
      <w:r w:rsidRPr="006F4ECB">
        <w:rPr>
          <w:rFonts w:ascii="Times New Roman" w:eastAsiaTheme="minorEastAsia" w:hAnsi="Times New Roman" w:cs="Times New Roman"/>
          <w:sz w:val="20"/>
          <w:szCs w:val="20"/>
        </w:rPr>
        <w:t>dan P3 berbeda signifikan terhadap KN</w:t>
      </w:r>
      <w:r w:rsidRPr="006F4ECB">
        <w:rPr>
          <w:rFonts w:ascii="Times New Roman" w:eastAsiaTheme="minorEastAsia" w:hAnsi="Times New Roman" w:cs="Times New Roman"/>
          <w:sz w:val="20"/>
          <w:szCs w:val="20"/>
          <w:lang w:val="en-US"/>
        </w:rPr>
        <w:t xml:space="preserve"> (p&lt;0,05)</w:t>
      </w:r>
      <w:r w:rsidRPr="006F4ECB">
        <w:rPr>
          <w:rFonts w:ascii="Times New Roman" w:eastAsiaTheme="minorEastAsia" w:hAnsi="Times New Roman" w:cs="Times New Roman"/>
          <w:sz w:val="20"/>
          <w:szCs w:val="20"/>
        </w:rPr>
        <w:t>.</w:t>
      </w:r>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Pada</w:t>
      </w:r>
      <w:proofErr w:type="spellEnd"/>
      <w:r w:rsidRPr="006F4ECB">
        <w:rPr>
          <w:rFonts w:ascii="Times New Roman" w:eastAsiaTheme="minorEastAsia" w:hAnsi="Times New Roman" w:cs="Times New Roman"/>
          <w:sz w:val="20"/>
          <w:szCs w:val="20"/>
          <w:lang w:val="en-US"/>
        </w:rPr>
        <w:t xml:space="preserve"> </w:t>
      </w:r>
      <w:r w:rsidRPr="006F4ECB">
        <w:rPr>
          <w:rFonts w:ascii="Times New Roman" w:eastAsiaTheme="minorEastAsia" w:hAnsi="Times New Roman" w:cs="Times New Roman"/>
          <w:i/>
          <w:sz w:val="20"/>
          <w:szCs w:val="20"/>
          <w:lang w:val="en-US"/>
        </w:rPr>
        <w:t>scoring</w:t>
      </w:r>
      <w:r w:rsidRPr="006F4ECB">
        <w:rPr>
          <w:rFonts w:ascii="Times New Roman" w:eastAsiaTheme="minorEastAsia" w:hAnsi="Times New Roman" w:cs="Times New Roman"/>
          <w:sz w:val="20"/>
          <w:szCs w:val="20"/>
          <w:lang w:val="en-US"/>
        </w:rPr>
        <w:t xml:space="preserve"> edema </w:t>
      </w:r>
      <w:proofErr w:type="spellStart"/>
      <w:r w:rsidRPr="006F4ECB">
        <w:rPr>
          <w:rFonts w:ascii="Times New Roman" w:eastAsiaTheme="minorEastAsia" w:hAnsi="Times New Roman" w:cs="Times New Roman"/>
          <w:sz w:val="20"/>
          <w:szCs w:val="20"/>
          <w:lang w:val="en-US"/>
        </w:rPr>
        <w:t>hari</w:t>
      </w:r>
      <w:proofErr w:type="spellEnd"/>
      <w:r w:rsidRPr="006F4ECB">
        <w:rPr>
          <w:rFonts w:ascii="Times New Roman" w:eastAsiaTheme="minorEastAsia" w:hAnsi="Times New Roman" w:cs="Times New Roman"/>
          <w:sz w:val="20"/>
          <w:szCs w:val="20"/>
          <w:lang w:val="en-US"/>
        </w:rPr>
        <w:t xml:space="preserve"> ke-19 </w:t>
      </w:r>
      <w:proofErr w:type="spellStart"/>
      <w:r w:rsidRPr="006F4ECB">
        <w:rPr>
          <w:rFonts w:ascii="Times New Roman" w:eastAsiaTheme="minorEastAsia" w:hAnsi="Times New Roman" w:cs="Times New Roman"/>
          <w:sz w:val="20"/>
          <w:szCs w:val="20"/>
          <w:lang w:val="en-US"/>
        </w:rPr>
        <w:t>tidak</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didapatkan</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perbedaan</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signifikan</w:t>
      </w:r>
      <w:proofErr w:type="spellEnd"/>
      <w:r w:rsidRPr="006F4ECB">
        <w:rPr>
          <w:rFonts w:ascii="Times New Roman" w:eastAsiaTheme="minorEastAsia" w:hAnsi="Times New Roman" w:cs="Times New Roman"/>
          <w:sz w:val="20"/>
          <w:szCs w:val="20"/>
          <w:lang w:val="en-US"/>
        </w:rPr>
        <w:t xml:space="preserve"> (p&gt;0</w:t>
      </w:r>
      <w:proofErr w:type="gramStart"/>
      <w:r w:rsidRPr="006F4ECB">
        <w:rPr>
          <w:rFonts w:ascii="Times New Roman" w:eastAsiaTheme="minorEastAsia" w:hAnsi="Times New Roman" w:cs="Times New Roman"/>
          <w:sz w:val="20"/>
          <w:szCs w:val="20"/>
          <w:lang w:val="en-US"/>
        </w:rPr>
        <w:t>,05</w:t>
      </w:r>
      <w:proofErr w:type="gram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antara</w:t>
      </w:r>
      <w:proofErr w:type="spellEnd"/>
      <w:r w:rsidRPr="006F4ECB">
        <w:rPr>
          <w:rFonts w:ascii="Times New Roman" w:eastAsiaTheme="minorEastAsia" w:hAnsi="Times New Roman" w:cs="Times New Roman"/>
          <w:sz w:val="20"/>
          <w:szCs w:val="20"/>
          <w:lang w:val="en-US"/>
        </w:rPr>
        <w:t xml:space="preserve"> </w:t>
      </w:r>
      <w:r w:rsidR="00227C39">
        <w:rPr>
          <w:rFonts w:ascii="Times New Roman" w:eastAsiaTheme="minorEastAsia" w:hAnsi="Times New Roman" w:cs="Times New Roman"/>
          <w:sz w:val="20"/>
          <w:szCs w:val="20"/>
        </w:rPr>
        <w:t>KP</w:t>
      </w:r>
      <w:r w:rsidR="005843BD">
        <w:rPr>
          <w:rFonts w:ascii="Times New Roman" w:eastAsiaTheme="minorEastAsia" w:hAnsi="Times New Roman" w:cs="Times New Roman"/>
          <w:sz w:val="20"/>
          <w:szCs w:val="20"/>
        </w:rPr>
        <w:t xml:space="preserve"> dan P1 terhadap</w:t>
      </w:r>
      <w:r w:rsidR="00227C39">
        <w:rPr>
          <w:rFonts w:ascii="Times New Roman" w:eastAsiaTheme="minorEastAsia" w:hAnsi="Times New Roman" w:cs="Times New Roman"/>
          <w:sz w:val="20"/>
          <w:szCs w:val="20"/>
          <w:lang w:val="en-US"/>
        </w:rPr>
        <w:t xml:space="preserve"> KN</w:t>
      </w:r>
      <w:r w:rsidRPr="006F4ECB">
        <w:rPr>
          <w:rFonts w:ascii="Times New Roman" w:eastAsiaTheme="minorEastAsia" w:hAnsi="Times New Roman" w:cs="Times New Roman"/>
          <w:sz w:val="20"/>
          <w:szCs w:val="20"/>
          <w:lang w:val="en-US"/>
        </w:rPr>
        <w:t xml:space="preserve">. P2 </w:t>
      </w:r>
      <w:proofErr w:type="spellStart"/>
      <w:r w:rsidRPr="006F4ECB">
        <w:rPr>
          <w:rFonts w:ascii="Times New Roman" w:eastAsiaTheme="minorEastAsia" w:hAnsi="Times New Roman" w:cs="Times New Roman"/>
          <w:sz w:val="20"/>
          <w:szCs w:val="20"/>
          <w:lang w:val="en-US"/>
        </w:rPr>
        <w:t>dan</w:t>
      </w:r>
      <w:proofErr w:type="spellEnd"/>
      <w:r w:rsidRPr="006F4ECB">
        <w:rPr>
          <w:rFonts w:ascii="Times New Roman" w:eastAsiaTheme="minorEastAsia" w:hAnsi="Times New Roman" w:cs="Times New Roman"/>
          <w:sz w:val="20"/>
          <w:szCs w:val="20"/>
          <w:lang w:val="en-US"/>
        </w:rPr>
        <w:t xml:space="preserve"> P3 </w:t>
      </w:r>
      <w:proofErr w:type="spellStart"/>
      <w:r w:rsidRPr="006F4ECB">
        <w:rPr>
          <w:rFonts w:ascii="Times New Roman" w:eastAsiaTheme="minorEastAsia" w:hAnsi="Times New Roman" w:cs="Times New Roman"/>
          <w:sz w:val="20"/>
          <w:szCs w:val="20"/>
          <w:lang w:val="en-US"/>
        </w:rPr>
        <w:t>berbeda</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signifikan</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dengan</w:t>
      </w:r>
      <w:proofErr w:type="spellEnd"/>
      <w:r w:rsidRPr="006F4ECB">
        <w:rPr>
          <w:rFonts w:ascii="Times New Roman" w:eastAsiaTheme="minorEastAsia" w:hAnsi="Times New Roman" w:cs="Times New Roman"/>
          <w:sz w:val="20"/>
          <w:szCs w:val="20"/>
          <w:lang w:val="en-US"/>
        </w:rPr>
        <w:t xml:space="preserve"> KN (p&lt;0,05). </w:t>
      </w:r>
      <w:proofErr w:type="spellStart"/>
      <w:r w:rsidRPr="006F4ECB">
        <w:rPr>
          <w:rFonts w:ascii="Times New Roman" w:eastAsiaTheme="minorEastAsia" w:hAnsi="Times New Roman" w:cs="Times New Roman"/>
          <w:sz w:val="20"/>
          <w:szCs w:val="20"/>
          <w:lang w:val="en-US"/>
        </w:rPr>
        <w:t>Sedangkan</w:t>
      </w:r>
      <w:proofErr w:type="spellEnd"/>
      <w:r w:rsidRPr="006F4ECB">
        <w:rPr>
          <w:rFonts w:ascii="Times New Roman" w:eastAsiaTheme="minorEastAsia" w:hAnsi="Times New Roman" w:cs="Times New Roman"/>
          <w:sz w:val="20"/>
          <w:szCs w:val="20"/>
          <w:lang w:val="en-US"/>
        </w:rPr>
        <w:t xml:space="preserve"> P1, P2 </w:t>
      </w:r>
      <w:proofErr w:type="spellStart"/>
      <w:r w:rsidRPr="006F4ECB">
        <w:rPr>
          <w:rFonts w:ascii="Times New Roman" w:eastAsiaTheme="minorEastAsia" w:hAnsi="Times New Roman" w:cs="Times New Roman"/>
          <w:sz w:val="20"/>
          <w:szCs w:val="20"/>
          <w:lang w:val="en-US"/>
        </w:rPr>
        <w:t>dan</w:t>
      </w:r>
      <w:proofErr w:type="spellEnd"/>
      <w:r w:rsidRPr="006F4ECB">
        <w:rPr>
          <w:rFonts w:ascii="Times New Roman" w:eastAsiaTheme="minorEastAsia" w:hAnsi="Times New Roman" w:cs="Times New Roman"/>
          <w:sz w:val="20"/>
          <w:szCs w:val="20"/>
          <w:lang w:val="en-US"/>
        </w:rPr>
        <w:t xml:space="preserve"> P3 </w:t>
      </w:r>
      <w:proofErr w:type="spellStart"/>
      <w:r w:rsidRPr="006F4ECB">
        <w:rPr>
          <w:rFonts w:ascii="Times New Roman" w:eastAsiaTheme="minorEastAsia" w:hAnsi="Times New Roman" w:cs="Times New Roman"/>
          <w:sz w:val="20"/>
          <w:szCs w:val="20"/>
          <w:lang w:val="en-US"/>
        </w:rPr>
        <w:t>tidak</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berbeda</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signifikan</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dengan</w:t>
      </w:r>
      <w:proofErr w:type="spellEnd"/>
      <w:r w:rsidRPr="006F4ECB">
        <w:rPr>
          <w:rFonts w:ascii="Times New Roman" w:eastAsiaTheme="minorEastAsia" w:hAnsi="Times New Roman" w:cs="Times New Roman"/>
          <w:sz w:val="20"/>
          <w:szCs w:val="20"/>
          <w:lang w:val="en-US"/>
        </w:rPr>
        <w:t xml:space="preserve"> KP (p&gt;0</w:t>
      </w:r>
      <w:proofErr w:type="gramStart"/>
      <w:r w:rsidRPr="006F4ECB">
        <w:rPr>
          <w:rFonts w:ascii="Times New Roman" w:eastAsiaTheme="minorEastAsia" w:hAnsi="Times New Roman" w:cs="Times New Roman"/>
          <w:sz w:val="20"/>
          <w:szCs w:val="20"/>
          <w:lang w:val="en-US"/>
        </w:rPr>
        <w:t>,05</w:t>
      </w:r>
      <w:proofErr w:type="gramEnd"/>
      <w:r w:rsidRPr="006F4ECB">
        <w:rPr>
          <w:rFonts w:ascii="Times New Roman" w:eastAsiaTheme="minorEastAsia" w:hAnsi="Times New Roman" w:cs="Times New Roman"/>
          <w:sz w:val="20"/>
          <w:szCs w:val="20"/>
          <w:lang w:val="en-US"/>
        </w:rPr>
        <w:t xml:space="preserve">). P1 </w:t>
      </w:r>
      <w:proofErr w:type="spellStart"/>
      <w:r w:rsidRPr="006F4ECB">
        <w:rPr>
          <w:rFonts w:ascii="Times New Roman" w:eastAsiaTheme="minorEastAsia" w:hAnsi="Times New Roman" w:cs="Times New Roman"/>
          <w:sz w:val="20"/>
          <w:szCs w:val="20"/>
          <w:lang w:val="en-US"/>
        </w:rPr>
        <w:t>berbeda</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signifikan</w:t>
      </w:r>
      <w:proofErr w:type="spellEnd"/>
      <w:r w:rsidRPr="006F4ECB">
        <w:rPr>
          <w:rFonts w:ascii="Times New Roman" w:eastAsiaTheme="minorEastAsia" w:hAnsi="Times New Roman" w:cs="Times New Roman"/>
          <w:sz w:val="20"/>
          <w:szCs w:val="20"/>
          <w:lang w:val="en-US"/>
        </w:rPr>
        <w:t xml:space="preserve"> </w:t>
      </w:r>
      <w:proofErr w:type="spellStart"/>
      <w:r w:rsidRPr="006F4ECB">
        <w:rPr>
          <w:rFonts w:ascii="Times New Roman" w:eastAsiaTheme="minorEastAsia" w:hAnsi="Times New Roman" w:cs="Times New Roman"/>
          <w:sz w:val="20"/>
          <w:szCs w:val="20"/>
          <w:lang w:val="en-US"/>
        </w:rPr>
        <w:t>terhadap</w:t>
      </w:r>
      <w:proofErr w:type="spellEnd"/>
      <w:r w:rsidRPr="006F4ECB">
        <w:rPr>
          <w:rFonts w:ascii="Times New Roman" w:eastAsiaTheme="minorEastAsia" w:hAnsi="Times New Roman" w:cs="Times New Roman"/>
          <w:sz w:val="20"/>
          <w:szCs w:val="20"/>
          <w:lang w:val="en-US"/>
        </w:rPr>
        <w:t xml:space="preserve"> P2 </w:t>
      </w:r>
      <w:proofErr w:type="spellStart"/>
      <w:r w:rsidRPr="006F4ECB">
        <w:rPr>
          <w:rFonts w:ascii="Times New Roman" w:eastAsiaTheme="minorEastAsia" w:hAnsi="Times New Roman" w:cs="Times New Roman"/>
          <w:sz w:val="20"/>
          <w:szCs w:val="20"/>
          <w:lang w:val="en-US"/>
        </w:rPr>
        <w:t>dan</w:t>
      </w:r>
      <w:proofErr w:type="spellEnd"/>
      <w:r w:rsidRPr="006F4ECB">
        <w:rPr>
          <w:rFonts w:ascii="Times New Roman" w:eastAsiaTheme="minorEastAsia" w:hAnsi="Times New Roman" w:cs="Times New Roman"/>
          <w:sz w:val="20"/>
          <w:szCs w:val="20"/>
          <w:lang w:val="en-US"/>
        </w:rPr>
        <w:t xml:space="preserve"> P3 (p&lt;0</w:t>
      </w:r>
      <w:proofErr w:type="gramStart"/>
      <w:r w:rsidRPr="006F4ECB">
        <w:rPr>
          <w:rFonts w:ascii="Times New Roman" w:eastAsiaTheme="minorEastAsia" w:hAnsi="Times New Roman" w:cs="Times New Roman"/>
          <w:sz w:val="20"/>
          <w:szCs w:val="20"/>
          <w:lang w:val="en-US"/>
        </w:rPr>
        <w:t>,05</w:t>
      </w:r>
      <w:proofErr w:type="gramEnd"/>
      <w:r w:rsidRPr="006F4ECB">
        <w:rPr>
          <w:rFonts w:ascii="Times New Roman" w:eastAsiaTheme="minorEastAsia" w:hAnsi="Times New Roman" w:cs="Times New Roman"/>
          <w:sz w:val="20"/>
          <w:szCs w:val="20"/>
          <w:lang w:val="en-US"/>
        </w:rPr>
        <w:t>).</w:t>
      </w:r>
      <w:r w:rsidRPr="006F4ECB">
        <w:rPr>
          <w:rFonts w:ascii="Times New Roman" w:hAnsi="Times New Roman" w:cs="Times New Roman"/>
          <w:sz w:val="20"/>
          <w:szCs w:val="20"/>
        </w:rPr>
        <w:t xml:space="preserve"> </w:t>
      </w:r>
      <w:r w:rsidR="005843BD">
        <w:rPr>
          <w:rFonts w:ascii="Times New Roman" w:hAnsi="Times New Roman" w:cs="Times New Roman"/>
          <w:sz w:val="20"/>
          <w:szCs w:val="20"/>
        </w:rPr>
        <w:t>P</w:t>
      </w:r>
      <w:r w:rsidR="005843BD" w:rsidRPr="006F4ECB">
        <w:rPr>
          <w:rFonts w:ascii="Times New Roman" w:hAnsi="Times New Roman" w:cs="Times New Roman"/>
          <w:sz w:val="20"/>
          <w:szCs w:val="20"/>
        </w:rPr>
        <w:t>ositif mengalami penurunan dan mendekati kelompok kontrol negatif.</w:t>
      </w:r>
    </w:p>
    <w:p w:rsidR="00D60E6E" w:rsidRPr="006F4ECB" w:rsidRDefault="00D60E6E" w:rsidP="006F4ECB">
      <w:pPr>
        <w:spacing w:after="0" w:line="240" w:lineRule="auto"/>
        <w:jc w:val="both"/>
        <w:rPr>
          <w:rFonts w:ascii="Times New Roman" w:hAnsi="Times New Roman" w:cs="Times New Roman"/>
          <w:sz w:val="20"/>
          <w:szCs w:val="20"/>
        </w:rPr>
      </w:pPr>
    </w:p>
    <w:p w:rsidR="003242F0" w:rsidRPr="006F4ECB" w:rsidRDefault="003242F0" w:rsidP="006F4ECB">
      <w:pPr>
        <w:spacing w:after="0" w:line="240" w:lineRule="auto"/>
        <w:jc w:val="both"/>
        <w:rPr>
          <w:rFonts w:ascii="Times New Roman" w:hAnsi="Times New Roman" w:cs="Times New Roman"/>
          <w:b/>
          <w:sz w:val="20"/>
          <w:szCs w:val="20"/>
        </w:rPr>
        <w:sectPr w:rsidR="003242F0" w:rsidRPr="006F4ECB" w:rsidSect="00EF0C53">
          <w:type w:val="continuous"/>
          <w:pgSz w:w="11906" w:h="16838"/>
          <w:pgMar w:top="1134" w:right="1134" w:bottom="1134" w:left="1701" w:header="709" w:footer="709" w:gutter="0"/>
          <w:cols w:num="2" w:space="708"/>
          <w:docGrid w:linePitch="360"/>
        </w:sect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lastRenderedPageBreak/>
        <w:t xml:space="preserve">Tabel 5.1 Hasil Pengukuran Edema Lutut Kanan Tikus Terhadap Efek Kombinasi Dekokta </w:t>
      </w:r>
      <w:r w:rsidR="008832B7" w:rsidRPr="006F4ECB">
        <w:rPr>
          <w:rFonts w:ascii="Times New Roman" w:hAnsi="Times New Roman" w:cs="Times New Roman"/>
          <w:b/>
          <w:sz w:val="20"/>
          <w:szCs w:val="20"/>
        </w:rPr>
        <w:t>RJMA</w:t>
      </w:r>
    </w:p>
    <w:tbl>
      <w:tblPr>
        <w:tblStyle w:val="PlainTable21"/>
        <w:tblpPr w:leftFromText="180" w:rightFromText="180" w:vertAnchor="text" w:horzAnchor="margin" w:tblpY="7"/>
        <w:tblW w:w="9072" w:type="dxa"/>
        <w:tblLook w:val="04A0" w:firstRow="1" w:lastRow="0" w:firstColumn="1" w:lastColumn="0" w:noHBand="0" w:noVBand="1"/>
      </w:tblPr>
      <w:tblGrid>
        <w:gridCol w:w="1849"/>
        <w:gridCol w:w="1553"/>
        <w:gridCol w:w="1276"/>
        <w:gridCol w:w="1418"/>
        <w:gridCol w:w="1559"/>
        <w:gridCol w:w="1485"/>
      </w:tblGrid>
      <w:tr w:rsidR="005531DB" w:rsidRPr="006F4ECB" w:rsidTr="00520D6F">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1DB" w:rsidRPr="006F4ECB" w:rsidRDefault="005531DB" w:rsidP="006F4ECB">
            <w:pPr>
              <w:jc w:val="both"/>
              <w:rPr>
                <w:rFonts w:ascii="Times New Roman" w:eastAsia="Times New Roman" w:hAnsi="Times New Roman" w:cs="Times New Roman"/>
                <w:b w:val="0"/>
                <w:color w:val="000000"/>
                <w:sz w:val="20"/>
                <w:szCs w:val="20"/>
              </w:rPr>
            </w:pPr>
            <w:r w:rsidRPr="006F4ECB">
              <w:rPr>
                <w:rFonts w:ascii="Times New Roman" w:eastAsia="Times New Roman" w:hAnsi="Times New Roman" w:cs="Times New Roman"/>
                <w:b w:val="0"/>
                <w:color w:val="000000"/>
                <w:sz w:val="20"/>
                <w:szCs w:val="20"/>
              </w:rPr>
              <w:t> </w:t>
            </w:r>
          </w:p>
        </w:tc>
        <w:tc>
          <w:tcPr>
            <w:tcW w:w="1553" w:type="dxa"/>
            <w:noWrap/>
            <w:hideMark/>
          </w:tcPr>
          <w:p w:rsidR="005531DB" w:rsidRPr="006F4ECB" w:rsidRDefault="005531DB" w:rsidP="006F4ECB">
            <w:pPr>
              <w:ind w:left="-249" w:firstLine="24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KN</w:t>
            </w:r>
          </w:p>
        </w:tc>
        <w:tc>
          <w:tcPr>
            <w:tcW w:w="1276" w:type="dxa"/>
            <w:noWrap/>
            <w:hideMark/>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KP</w:t>
            </w:r>
          </w:p>
        </w:tc>
        <w:tc>
          <w:tcPr>
            <w:tcW w:w="1418" w:type="dxa"/>
            <w:noWrap/>
            <w:hideMark/>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P1</w:t>
            </w:r>
          </w:p>
        </w:tc>
        <w:tc>
          <w:tcPr>
            <w:tcW w:w="1559" w:type="dxa"/>
            <w:noWrap/>
            <w:hideMark/>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P2</w:t>
            </w:r>
          </w:p>
        </w:tc>
        <w:tc>
          <w:tcPr>
            <w:tcW w:w="1417" w:type="dxa"/>
            <w:noWrap/>
            <w:hideMark/>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P3</w:t>
            </w:r>
          </w:p>
        </w:tc>
      </w:tr>
      <w:tr w:rsidR="005531DB" w:rsidRPr="006F4ECB" w:rsidTr="00520D6F">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1DB" w:rsidRPr="006F4ECB" w:rsidRDefault="005531DB" w:rsidP="006F4ECB">
            <w:pPr>
              <w:jc w:val="both"/>
              <w:rPr>
                <w:rFonts w:ascii="Times New Roman" w:eastAsia="Times New Roman" w:hAnsi="Times New Roman" w:cs="Times New Roman"/>
                <w:b w:val="0"/>
                <w:color w:val="000000"/>
                <w:sz w:val="20"/>
                <w:szCs w:val="20"/>
              </w:rPr>
            </w:pPr>
            <w:proofErr w:type="spellStart"/>
            <w:r w:rsidRPr="006F4ECB">
              <w:rPr>
                <w:rFonts w:ascii="Times New Roman" w:eastAsia="Times New Roman" w:hAnsi="Times New Roman" w:cs="Times New Roman"/>
                <w:b w:val="0"/>
                <w:color w:val="000000"/>
                <w:sz w:val="20"/>
                <w:szCs w:val="20"/>
              </w:rPr>
              <w:t>Injeksi</w:t>
            </w:r>
            <w:proofErr w:type="spellEnd"/>
            <w:r w:rsidRPr="006F4ECB">
              <w:rPr>
                <w:rFonts w:ascii="Times New Roman" w:eastAsia="Times New Roman" w:hAnsi="Times New Roman" w:cs="Times New Roman"/>
                <w:b w:val="0"/>
                <w:color w:val="000000"/>
                <w:sz w:val="20"/>
                <w:szCs w:val="20"/>
              </w:rPr>
              <w:t xml:space="preserve"> CFA</w:t>
            </w:r>
          </w:p>
        </w:tc>
        <w:tc>
          <w:tcPr>
            <w:tcW w:w="1553" w:type="dxa"/>
            <w:noWrap/>
            <w:hideMark/>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w:t>
            </w:r>
          </w:p>
        </w:tc>
        <w:tc>
          <w:tcPr>
            <w:tcW w:w="1276" w:type="dxa"/>
            <w:noWrap/>
            <w:hideMark/>
          </w:tcPr>
          <w:p w:rsidR="005531DB" w:rsidRPr="006F4ECB" w:rsidRDefault="00D047E5"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 ml</w:t>
            </w:r>
            <w:r w:rsidR="005531DB" w:rsidRPr="006F4ECB">
              <w:rPr>
                <w:rFonts w:ascii="Times New Roman" w:eastAsia="Times New Roman" w:hAnsi="Times New Roman" w:cs="Times New Roman"/>
                <w:color w:val="000000"/>
                <w:sz w:val="20"/>
                <w:szCs w:val="20"/>
              </w:rPr>
              <w:t xml:space="preserve">/ </w:t>
            </w:r>
            <w:proofErr w:type="spellStart"/>
            <w:r w:rsidR="005531DB" w:rsidRPr="006F4ECB">
              <w:rPr>
                <w:rFonts w:ascii="Times New Roman" w:eastAsia="Times New Roman" w:hAnsi="Times New Roman" w:cs="Times New Roman"/>
                <w:color w:val="000000"/>
                <w:sz w:val="20"/>
                <w:szCs w:val="20"/>
              </w:rPr>
              <w:t>tikud</w:t>
            </w:r>
            <w:proofErr w:type="spellEnd"/>
          </w:p>
        </w:tc>
        <w:tc>
          <w:tcPr>
            <w:tcW w:w="1418" w:type="dxa"/>
            <w:noWrap/>
            <w:hideMark/>
          </w:tcPr>
          <w:p w:rsidR="005531DB" w:rsidRPr="006F4ECB" w:rsidRDefault="00D047E5"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 ml</w:t>
            </w:r>
            <w:r w:rsidR="005531DB" w:rsidRPr="006F4ECB">
              <w:rPr>
                <w:rFonts w:ascii="Times New Roman" w:eastAsia="Times New Roman" w:hAnsi="Times New Roman" w:cs="Times New Roman"/>
                <w:color w:val="000000"/>
                <w:sz w:val="20"/>
                <w:szCs w:val="20"/>
              </w:rPr>
              <w:t>/</w:t>
            </w:r>
            <w:proofErr w:type="spellStart"/>
            <w:r w:rsidR="005531DB" w:rsidRPr="006F4ECB">
              <w:rPr>
                <w:rFonts w:ascii="Times New Roman" w:eastAsia="Times New Roman" w:hAnsi="Times New Roman" w:cs="Times New Roman"/>
                <w:color w:val="000000"/>
                <w:sz w:val="20"/>
                <w:szCs w:val="20"/>
              </w:rPr>
              <w:t>tikus</w:t>
            </w:r>
            <w:proofErr w:type="spellEnd"/>
          </w:p>
        </w:tc>
        <w:tc>
          <w:tcPr>
            <w:tcW w:w="1559" w:type="dxa"/>
            <w:noWrap/>
            <w:hideMark/>
          </w:tcPr>
          <w:p w:rsidR="005531DB" w:rsidRPr="006F4ECB" w:rsidRDefault="00D047E5"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 ml</w:t>
            </w:r>
            <w:r w:rsidR="005531DB" w:rsidRPr="006F4ECB">
              <w:rPr>
                <w:rFonts w:ascii="Times New Roman" w:eastAsia="Times New Roman" w:hAnsi="Times New Roman" w:cs="Times New Roman"/>
                <w:color w:val="000000"/>
                <w:sz w:val="20"/>
                <w:szCs w:val="20"/>
              </w:rPr>
              <w:t>/</w:t>
            </w:r>
            <w:proofErr w:type="spellStart"/>
            <w:r w:rsidR="005531DB" w:rsidRPr="006F4ECB">
              <w:rPr>
                <w:rFonts w:ascii="Times New Roman" w:eastAsia="Times New Roman" w:hAnsi="Times New Roman" w:cs="Times New Roman"/>
                <w:color w:val="000000"/>
                <w:sz w:val="20"/>
                <w:szCs w:val="20"/>
              </w:rPr>
              <w:t>tikus</w:t>
            </w:r>
            <w:proofErr w:type="spellEnd"/>
          </w:p>
        </w:tc>
        <w:tc>
          <w:tcPr>
            <w:tcW w:w="1417" w:type="dxa"/>
            <w:noWrap/>
            <w:hideMark/>
          </w:tcPr>
          <w:p w:rsidR="005531DB" w:rsidRPr="006F4ECB" w:rsidRDefault="00D047E5"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 ml</w:t>
            </w:r>
            <w:r w:rsidR="005531DB" w:rsidRPr="006F4ECB">
              <w:rPr>
                <w:rFonts w:ascii="Times New Roman" w:eastAsia="Times New Roman" w:hAnsi="Times New Roman" w:cs="Times New Roman"/>
                <w:color w:val="000000"/>
                <w:sz w:val="20"/>
                <w:szCs w:val="20"/>
              </w:rPr>
              <w:t>/</w:t>
            </w:r>
            <w:proofErr w:type="spellStart"/>
            <w:r w:rsidR="005531DB" w:rsidRPr="006F4ECB">
              <w:rPr>
                <w:rFonts w:ascii="Times New Roman" w:eastAsia="Times New Roman" w:hAnsi="Times New Roman" w:cs="Times New Roman"/>
                <w:color w:val="000000"/>
                <w:sz w:val="20"/>
                <w:szCs w:val="20"/>
              </w:rPr>
              <w:t>tikus</w:t>
            </w:r>
            <w:proofErr w:type="spellEnd"/>
          </w:p>
        </w:tc>
      </w:tr>
      <w:tr w:rsidR="005531DB" w:rsidRPr="006F4ECB" w:rsidTr="00520D6F">
        <w:trPr>
          <w:trHeight w:val="350"/>
        </w:trPr>
        <w:tc>
          <w:tcPr>
            <w:cnfStyle w:val="001000000000" w:firstRow="0" w:lastRow="0" w:firstColumn="1" w:lastColumn="0" w:oddVBand="0" w:evenVBand="0" w:oddHBand="0" w:evenHBand="0" w:firstRowFirstColumn="0" w:firstRowLastColumn="0" w:lastRowFirstColumn="0" w:lastRowLastColumn="0"/>
            <w:tcW w:w="1849" w:type="dxa"/>
            <w:noWrap/>
          </w:tcPr>
          <w:p w:rsidR="005531DB" w:rsidRPr="006F4ECB" w:rsidRDefault="005531DB" w:rsidP="006F4ECB">
            <w:pPr>
              <w:jc w:val="both"/>
              <w:rPr>
                <w:rFonts w:ascii="Times New Roman" w:eastAsia="Times New Roman" w:hAnsi="Times New Roman" w:cs="Times New Roman"/>
                <w:b w:val="0"/>
                <w:color w:val="000000"/>
                <w:sz w:val="20"/>
                <w:szCs w:val="20"/>
              </w:rPr>
            </w:pPr>
            <w:r w:rsidRPr="006F4ECB">
              <w:rPr>
                <w:rFonts w:ascii="Times New Roman" w:eastAsia="Times New Roman" w:hAnsi="Times New Roman" w:cs="Times New Roman"/>
                <w:b w:val="0"/>
                <w:i/>
                <w:color w:val="000000"/>
                <w:sz w:val="20"/>
                <w:szCs w:val="20"/>
              </w:rPr>
              <w:t>Scoring</w:t>
            </w:r>
            <w:r w:rsidRPr="006F4ECB">
              <w:rPr>
                <w:rFonts w:ascii="Times New Roman" w:eastAsia="Times New Roman" w:hAnsi="Times New Roman" w:cs="Times New Roman"/>
                <w:b w:val="0"/>
                <w:color w:val="000000"/>
                <w:sz w:val="20"/>
                <w:szCs w:val="20"/>
              </w:rPr>
              <w:t xml:space="preserve"> edema </w:t>
            </w:r>
            <w:proofErr w:type="spellStart"/>
            <w:r w:rsidRPr="006F4ECB">
              <w:rPr>
                <w:rFonts w:ascii="Times New Roman" w:eastAsia="Times New Roman" w:hAnsi="Times New Roman" w:cs="Times New Roman"/>
                <w:b w:val="0"/>
                <w:color w:val="000000"/>
                <w:sz w:val="20"/>
                <w:szCs w:val="20"/>
              </w:rPr>
              <w:t>lutut</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hari</w:t>
            </w:r>
            <w:proofErr w:type="spellEnd"/>
            <w:r w:rsidRPr="006F4ECB">
              <w:rPr>
                <w:rFonts w:ascii="Times New Roman" w:eastAsia="Times New Roman" w:hAnsi="Times New Roman" w:cs="Times New Roman"/>
                <w:b w:val="0"/>
                <w:color w:val="000000"/>
                <w:sz w:val="20"/>
                <w:szCs w:val="20"/>
              </w:rPr>
              <w:t xml:space="preserve"> ke-5 </w:t>
            </w:r>
          </w:p>
        </w:tc>
        <w:tc>
          <w:tcPr>
            <w:tcW w:w="1553" w:type="dxa"/>
            <w:noWrap/>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0,0±0</w:t>
            </w:r>
          </w:p>
        </w:tc>
        <w:tc>
          <w:tcPr>
            <w:tcW w:w="1276" w:type="dxa"/>
            <w:noWrap/>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1,2±0,447</w:t>
            </w:r>
            <w:r w:rsidR="008B2125">
              <w:rPr>
                <w:rFonts w:ascii="Times New Roman" w:eastAsia="Times New Roman" w:hAnsi="Times New Roman" w:cs="Times New Roman"/>
                <w:color w:val="000000"/>
                <w:sz w:val="20"/>
                <w:szCs w:val="20"/>
                <w:vertAlign w:val="superscript"/>
              </w:rPr>
              <w:t>a</w:t>
            </w:r>
          </w:p>
        </w:tc>
        <w:tc>
          <w:tcPr>
            <w:tcW w:w="1418" w:type="dxa"/>
            <w:noWrap/>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1±0,0</w:t>
            </w:r>
            <w:r w:rsidR="008B2125">
              <w:rPr>
                <w:rFonts w:ascii="Times New Roman" w:eastAsia="Times New Roman" w:hAnsi="Times New Roman" w:cs="Times New Roman"/>
                <w:color w:val="000000"/>
                <w:sz w:val="20"/>
                <w:szCs w:val="20"/>
                <w:vertAlign w:val="superscript"/>
              </w:rPr>
              <w:t>a</w:t>
            </w:r>
          </w:p>
        </w:tc>
        <w:tc>
          <w:tcPr>
            <w:tcW w:w="1559" w:type="dxa"/>
            <w:noWrap/>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1±0,0</w:t>
            </w:r>
            <w:r w:rsidR="008B2125">
              <w:rPr>
                <w:rFonts w:ascii="Times New Roman" w:eastAsia="Times New Roman" w:hAnsi="Times New Roman" w:cs="Times New Roman"/>
                <w:color w:val="000000"/>
                <w:sz w:val="20"/>
                <w:szCs w:val="20"/>
                <w:vertAlign w:val="superscript"/>
              </w:rPr>
              <w:t>a</w:t>
            </w:r>
          </w:p>
        </w:tc>
        <w:tc>
          <w:tcPr>
            <w:tcW w:w="1417" w:type="dxa"/>
            <w:noWrap/>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1,4±0,547</w:t>
            </w:r>
            <w:r w:rsidR="008B2125">
              <w:rPr>
                <w:rFonts w:ascii="Times New Roman" w:eastAsia="Times New Roman" w:hAnsi="Times New Roman" w:cs="Times New Roman"/>
                <w:color w:val="000000"/>
                <w:sz w:val="20"/>
                <w:szCs w:val="20"/>
                <w:vertAlign w:val="superscript"/>
              </w:rPr>
              <w:t>a</w:t>
            </w:r>
          </w:p>
        </w:tc>
      </w:tr>
      <w:tr w:rsidR="005531DB" w:rsidRPr="006F4ECB" w:rsidTr="00520D6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9" w:type="dxa"/>
            <w:noWrap/>
          </w:tcPr>
          <w:p w:rsidR="005531DB" w:rsidRPr="006F4ECB" w:rsidRDefault="005531DB" w:rsidP="006F4ECB">
            <w:pPr>
              <w:jc w:val="both"/>
              <w:rPr>
                <w:rFonts w:ascii="Times New Roman" w:eastAsia="Times New Roman" w:hAnsi="Times New Roman" w:cs="Times New Roman"/>
                <w:b w:val="0"/>
                <w:color w:val="000000"/>
                <w:sz w:val="20"/>
                <w:szCs w:val="20"/>
              </w:rPr>
            </w:pPr>
            <w:r w:rsidRPr="006F4ECB">
              <w:rPr>
                <w:rFonts w:ascii="Times New Roman" w:eastAsia="Times New Roman" w:hAnsi="Times New Roman" w:cs="Times New Roman"/>
                <w:b w:val="0"/>
                <w:i/>
                <w:color w:val="000000"/>
                <w:sz w:val="20"/>
                <w:szCs w:val="20"/>
              </w:rPr>
              <w:t>Scoring</w:t>
            </w:r>
            <w:r w:rsidRPr="006F4ECB">
              <w:rPr>
                <w:rFonts w:ascii="Times New Roman" w:eastAsia="Times New Roman" w:hAnsi="Times New Roman" w:cs="Times New Roman"/>
                <w:b w:val="0"/>
                <w:color w:val="000000"/>
                <w:sz w:val="20"/>
                <w:szCs w:val="20"/>
              </w:rPr>
              <w:t xml:space="preserve"> edema </w:t>
            </w:r>
            <w:proofErr w:type="spellStart"/>
            <w:r w:rsidRPr="006F4ECB">
              <w:rPr>
                <w:rFonts w:ascii="Times New Roman" w:eastAsia="Times New Roman" w:hAnsi="Times New Roman" w:cs="Times New Roman"/>
                <w:b w:val="0"/>
                <w:color w:val="000000"/>
                <w:sz w:val="20"/>
                <w:szCs w:val="20"/>
              </w:rPr>
              <w:t>lutut</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hari</w:t>
            </w:r>
            <w:proofErr w:type="spellEnd"/>
            <w:r w:rsidRPr="006F4ECB">
              <w:rPr>
                <w:rFonts w:ascii="Times New Roman" w:eastAsia="Times New Roman" w:hAnsi="Times New Roman" w:cs="Times New Roman"/>
                <w:b w:val="0"/>
                <w:color w:val="000000"/>
                <w:sz w:val="20"/>
                <w:szCs w:val="20"/>
              </w:rPr>
              <w:t xml:space="preserve"> ke-10</w:t>
            </w:r>
          </w:p>
        </w:tc>
        <w:tc>
          <w:tcPr>
            <w:tcW w:w="1553"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0,0±0</w:t>
            </w:r>
          </w:p>
        </w:tc>
        <w:tc>
          <w:tcPr>
            <w:tcW w:w="1276"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1,2±0,447</w:t>
            </w:r>
            <w:r w:rsidR="008B2125">
              <w:rPr>
                <w:rFonts w:ascii="Times New Roman" w:eastAsia="Times New Roman" w:hAnsi="Times New Roman" w:cs="Times New Roman"/>
                <w:color w:val="000000"/>
                <w:sz w:val="20"/>
                <w:szCs w:val="20"/>
                <w:vertAlign w:val="superscript"/>
              </w:rPr>
              <w:t>a</w:t>
            </w:r>
          </w:p>
        </w:tc>
        <w:tc>
          <w:tcPr>
            <w:tcW w:w="1418"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1±0,0</w:t>
            </w:r>
            <w:r w:rsidR="008B2125">
              <w:rPr>
                <w:rFonts w:ascii="Times New Roman" w:eastAsia="Times New Roman" w:hAnsi="Times New Roman" w:cs="Times New Roman"/>
                <w:color w:val="000000"/>
                <w:sz w:val="20"/>
                <w:szCs w:val="20"/>
                <w:vertAlign w:val="superscript"/>
              </w:rPr>
              <w:t>a</w:t>
            </w:r>
          </w:p>
        </w:tc>
        <w:tc>
          <w:tcPr>
            <w:tcW w:w="1559"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1,4±0,49</w:t>
            </w:r>
            <w:r w:rsidR="008B2125">
              <w:rPr>
                <w:rFonts w:ascii="Times New Roman" w:eastAsia="Times New Roman" w:hAnsi="Times New Roman" w:cs="Times New Roman"/>
                <w:color w:val="000000"/>
                <w:sz w:val="20"/>
                <w:szCs w:val="20"/>
                <w:vertAlign w:val="superscript"/>
              </w:rPr>
              <w:t>a</w:t>
            </w:r>
          </w:p>
        </w:tc>
        <w:tc>
          <w:tcPr>
            <w:tcW w:w="1417"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6F4ECB">
              <w:rPr>
                <w:rFonts w:ascii="Times New Roman" w:eastAsia="Times New Roman" w:hAnsi="Times New Roman" w:cs="Times New Roman"/>
                <w:color w:val="000000"/>
                <w:sz w:val="20"/>
                <w:szCs w:val="20"/>
              </w:rPr>
              <w:t>1,6±0,548</w:t>
            </w:r>
            <w:r w:rsidR="008B2125">
              <w:rPr>
                <w:rFonts w:ascii="Times New Roman" w:eastAsia="Times New Roman" w:hAnsi="Times New Roman" w:cs="Times New Roman"/>
                <w:color w:val="000000"/>
                <w:sz w:val="20"/>
                <w:szCs w:val="20"/>
                <w:vertAlign w:val="superscript"/>
              </w:rPr>
              <w:t>a</w:t>
            </w:r>
          </w:p>
        </w:tc>
      </w:tr>
      <w:tr w:rsidR="005531DB" w:rsidRPr="006F4ECB" w:rsidTr="00520D6F">
        <w:trPr>
          <w:trHeight w:val="198"/>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1DB" w:rsidRPr="006F4ECB" w:rsidRDefault="005531DB" w:rsidP="006F4ECB">
            <w:pPr>
              <w:jc w:val="both"/>
              <w:rPr>
                <w:rFonts w:ascii="Times New Roman" w:eastAsia="Times New Roman" w:hAnsi="Times New Roman" w:cs="Times New Roman"/>
                <w:b w:val="0"/>
                <w:color w:val="000000"/>
                <w:sz w:val="20"/>
                <w:szCs w:val="20"/>
              </w:rPr>
            </w:pPr>
            <w:proofErr w:type="spellStart"/>
            <w:r w:rsidRPr="006F4ECB">
              <w:rPr>
                <w:rFonts w:ascii="Times New Roman" w:eastAsia="Times New Roman" w:hAnsi="Times New Roman" w:cs="Times New Roman"/>
                <w:b w:val="0"/>
                <w:color w:val="000000"/>
                <w:sz w:val="20"/>
                <w:szCs w:val="20"/>
              </w:rPr>
              <w:t>Dosis</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Kombinasi</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Dekokta</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Rimpnag</w:t>
            </w:r>
            <w:proofErr w:type="spellEnd"/>
            <w:r w:rsidRPr="006F4ECB">
              <w:rPr>
                <w:rFonts w:ascii="Times New Roman" w:eastAsia="Times New Roman" w:hAnsi="Times New Roman" w:cs="Times New Roman"/>
                <w:b w:val="0"/>
                <w:color w:val="000000"/>
                <w:sz w:val="20"/>
                <w:szCs w:val="20"/>
              </w:rPr>
              <w:t xml:space="preserve"> (JMA)</w:t>
            </w:r>
          </w:p>
        </w:tc>
        <w:tc>
          <w:tcPr>
            <w:tcW w:w="1553" w:type="dxa"/>
            <w:noWrap/>
            <w:hideMark/>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w:t>
            </w:r>
          </w:p>
        </w:tc>
        <w:tc>
          <w:tcPr>
            <w:tcW w:w="1276" w:type="dxa"/>
            <w:noWrap/>
            <w:hideMark/>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w:t>
            </w:r>
          </w:p>
        </w:tc>
        <w:tc>
          <w:tcPr>
            <w:tcW w:w="1418" w:type="dxa"/>
            <w:noWrap/>
            <w:hideMark/>
          </w:tcPr>
          <w:p w:rsidR="005531DB" w:rsidRPr="006F4ECB" w:rsidRDefault="008B2125"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(9+40)</w:t>
            </w:r>
            <w:r w:rsidR="005531DB" w:rsidRPr="006F4ECB">
              <w:rPr>
                <w:rFonts w:ascii="Times New Roman" w:eastAsia="Times New Roman" w:hAnsi="Times New Roman" w:cs="Times New Roman"/>
                <w:color w:val="000000"/>
                <w:sz w:val="20"/>
                <w:szCs w:val="20"/>
              </w:rPr>
              <w:t>mg/</w:t>
            </w:r>
            <w:proofErr w:type="spellStart"/>
            <w:r w:rsidR="005531DB" w:rsidRPr="006F4ECB">
              <w:rPr>
                <w:rFonts w:ascii="Times New Roman" w:eastAsia="Times New Roman" w:hAnsi="Times New Roman" w:cs="Times New Roman"/>
                <w:color w:val="000000"/>
                <w:sz w:val="20"/>
                <w:szCs w:val="20"/>
              </w:rPr>
              <w:t>hari</w:t>
            </w:r>
            <w:proofErr w:type="spellEnd"/>
          </w:p>
        </w:tc>
        <w:tc>
          <w:tcPr>
            <w:tcW w:w="1559" w:type="dxa"/>
            <w:noWrap/>
            <w:hideMark/>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F4ECB">
              <w:rPr>
                <w:rFonts w:ascii="Times New Roman" w:eastAsia="Times New Roman" w:hAnsi="Times New Roman" w:cs="Times New Roman"/>
                <w:color w:val="000000"/>
                <w:sz w:val="20"/>
                <w:szCs w:val="20"/>
              </w:rPr>
              <w:t>(18+40) mg/</w:t>
            </w:r>
            <w:proofErr w:type="spellStart"/>
            <w:r w:rsidRPr="006F4ECB">
              <w:rPr>
                <w:rFonts w:ascii="Times New Roman" w:eastAsia="Times New Roman" w:hAnsi="Times New Roman" w:cs="Times New Roman"/>
                <w:color w:val="000000"/>
                <w:sz w:val="20"/>
                <w:szCs w:val="20"/>
              </w:rPr>
              <w:t>hari</w:t>
            </w:r>
            <w:proofErr w:type="spellEnd"/>
          </w:p>
        </w:tc>
        <w:tc>
          <w:tcPr>
            <w:tcW w:w="1417" w:type="dxa"/>
            <w:noWrap/>
            <w:hideMark/>
          </w:tcPr>
          <w:p w:rsidR="005531DB" w:rsidRPr="006F4ECB" w:rsidRDefault="008B2125" w:rsidP="006F4ECB">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(36+40)</w:t>
            </w:r>
            <w:r w:rsidR="005531DB" w:rsidRPr="006F4ECB">
              <w:rPr>
                <w:rFonts w:ascii="Times New Roman" w:eastAsia="Times New Roman" w:hAnsi="Times New Roman" w:cs="Times New Roman"/>
                <w:color w:val="000000"/>
                <w:sz w:val="20"/>
                <w:szCs w:val="20"/>
              </w:rPr>
              <w:t>mg/</w:t>
            </w:r>
            <w:proofErr w:type="spellStart"/>
            <w:r w:rsidR="005531DB" w:rsidRPr="006F4ECB">
              <w:rPr>
                <w:rFonts w:ascii="Times New Roman" w:eastAsia="Times New Roman" w:hAnsi="Times New Roman" w:cs="Times New Roman"/>
                <w:color w:val="000000"/>
                <w:sz w:val="20"/>
                <w:szCs w:val="20"/>
              </w:rPr>
              <w:t>hari</w:t>
            </w:r>
            <w:proofErr w:type="spellEnd"/>
          </w:p>
        </w:tc>
      </w:tr>
      <w:tr w:rsidR="005531DB" w:rsidRPr="006F4ECB" w:rsidTr="00520D6F">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9" w:type="dxa"/>
            <w:noWrap/>
          </w:tcPr>
          <w:p w:rsidR="005531DB" w:rsidRPr="006F4ECB" w:rsidRDefault="005531DB" w:rsidP="006F4ECB">
            <w:pPr>
              <w:jc w:val="both"/>
              <w:rPr>
                <w:rFonts w:ascii="Times New Roman" w:eastAsia="Times New Roman" w:hAnsi="Times New Roman" w:cs="Times New Roman"/>
                <w:b w:val="0"/>
                <w:color w:val="000000"/>
                <w:sz w:val="20"/>
                <w:szCs w:val="20"/>
              </w:rPr>
            </w:pPr>
            <w:r w:rsidRPr="006F4ECB">
              <w:rPr>
                <w:rFonts w:ascii="Times New Roman" w:eastAsia="Times New Roman" w:hAnsi="Times New Roman" w:cs="Times New Roman"/>
                <w:b w:val="0"/>
                <w:color w:val="000000"/>
                <w:sz w:val="20"/>
                <w:szCs w:val="20"/>
              </w:rPr>
              <w:t xml:space="preserve">Delta edema </w:t>
            </w:r>
            <w:proofErr w:type="spellStart"/>
            <w:r w:rsidRPr="006F4ECB">
              <w:rPr>
                <w:rFonts w:ascii="Times New Roman" w:eastAsia="Times New Roman" w:hAnsi="Times New Roman" w:cs="Times New Roman"/>
                <w:b w:val="0"/>
                <w:color w:val="000000"/>
                <w:sz w:val="20"/>
                <w:szCs w:val="20"/>
              </w:rPr>
              <w:t>lutut</w:t>
            </w:r>
            <w:proofErr w:type="spellEnd"/>
            <w:r w:rsidRPr="006F4ECB">
              <w:rPr>
                <w:rFonts w:ascii="Times New Roman" w:eastAsia="Times New Roman" w:hAnsi="Times New Roman" w:cs="Times New Roman"/>
                <w:b w:val="0"/>
                <w:color w:val="000000"/>
                <w:sz w:val="20"/>
                <w:szCs w:val="20"/>
              </w:rPr>
              <w:t xml:space="preserve"> </w:t>
            </w:r>
            <w:proofErr w:type="spellStart"/>
            <w:r w:rsidRPr="006F4ECB">
              <w:rPr>
                <w:rFonts w:ascii="Times New Roman" w:eastAsia="Times New Roman" w:hAnsi="Times New Roman" w:cs="Times New Roman"/>
                <w:b w:val="0"/>
                <w:color w:val="000000"/>
                <w:sz w:val="20"/>
                <w:szCs w:val="20"/>
              </w:rPr>
              <w:t>hari</w:t>
            </w:r>
            <w:proofErr w:type="spellEnd"/>
            <w:r w:rsidRPr="006F4ECB">
              <w:rPr>
                <w:rFonts w:ascii="Times New Roman" w:eastAsia="Times New Roman" w:hAnsi="Times New Roman" w:cs="Times New Roman"/>
                <w:b w:val="0"/>
                <w:color w:val="000000"/>
                <w:sz w:val="20"/>
                <w:szCs w:val="20"/>
              </w:rPr>
              <w:t xml:space="preserve"> ke-19</w:t>
            </w:r>
          </w:p>
        </w:tc>
        <w:tc>
          <w:tcPr>
            <w:tcW w:w="1553" w:type="dxa"/>
            <w:noWrap/>
          </w:tcPr>
          <w:p w:rsidR="005531DB" w:rsidRPr="003A5FB5"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6F4ECB">
              <w:rPr>
                <w:rFonts w:ascii="Times New Roman" w:eastAsia="Times New Roman" w:hAnsi="Times New Roman" w:cs="Times New Roman"/>
                <w:color w:val="000000"/>
                <w:sz w:val="20"/>
                <w:szCs w:val="20"/>
              </w:rPr>
              <w:t>0,0±0</w:t>
            </w:r>
          </w:p>
        </w:tc>
        <w:tc>
          <w:tcPr>
            <w:tcW w:w="1276" w:type="dxa"/>
            <w:noWrap/>
          </w:tcPr>
          <w:p w:rsidR="005531DB" w:rsidRPr="005C4FE2"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6F4ECB">
              <w:rPr>
                <w:rFonts w:ascii="Times New Roman" w:eastAsia="Times New Roman" w:hAnsi="Times New Roman" w:cs="Times New Roman"/>
                <w:color w:val="000000"/>
                <w:sz w:val="20"/>
                <w:szCs w:val="20"/>
              </w:rPr>
              <w:t>0,6±0,5</w:t>
            </w:r>
            <w:r w:rsidR="005C4FE2">
              <w:rPr>
                <w:rFonts w:ascii="Times New Roman" w:eastAsia="Times New Roman" w:hAnsi="Times New Roman" w:cs="Times New Roman"/>
                <w:color w:val="000000"/>
                <w:sz w:val="20"/>
                <w:szCs w:val="20"/>
                <w:vertAlign w:val="superscript"/>
                <w:lang w:val="id-ID"/>
              </w:rPr>
              <w:t>b</w:t>
            </w:r>
          </w:p>
        </w:tc>
        <w:tc>
          <w:tcPr>
            <w:tcW w:w="1418" w:type="dxa"/>
            <w:noWrap/>
          </w:tcPr>
          <w:p w:rsidR="005531DB" w:rsidRPr="006F4ECB" w:rsidRDefault="005531DB" w:rsidP="00D047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6F4ECB">
              <w:rPr>
                <w:rFonts w:ascii="Times New Roman" w:eastAsia="Times New Roman" w:hAnsi="Times New Roman" w:cs="Times New Roman"/>
                <w:color w:val="000000"/>
                <w:sz w:val="20"/>
                <w:szCs w:val="20"/>
              </w:rPr>
              <w:t>0,2±0,4</w:t>
            </w:r>
            <w:r w:rsidR="005843BD">
              <w:rPr>
                <w:rFonts w:ascii="Times New Roman" w:eastAsia="Times New Roman" w:hAnsi="Times New Roman" w:cs="Times New Roman"/>
                <w:color w:val="000000"/>
                <w:sz w:val="20"/>
                <w:szCs w:val="20"/>
                <w:vertAlign w:val="superscript"/>
              </w:rPr>
              <w:t>b</w:t>
            </w:r>
          </w:p>
        </w:tc>
        <w:tc>
          <w:tcPr>
            <w:tcW w:w="1559"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6F4ECB">
              <w:rPr>
                <w:rFonts w:ascii="Times New Roman" w:eastAsia="Times New Roman" w:hAnsi="Times New Roman" w:cs="Times New Roman"/>
                <w:color w:val="000000"/>
                <w:sz w:val="20"/>
                <w:szCs w:val="20"/>
              </w:rPr>
              <w:t>1±0,0</w:t>
            </w:r>
            <w:r w:rsidR="008B2125">
              <w:rPr>
                <w:rFonts w:ascii="Times New Roman" w:eastAsia="Times New Roman" w:hAnsi="Times New Roman" w:cs="Times New Roman"/>
                <w:color w:val="000000"/>
                <w:sz w:val="20"/>
                <w:szCs w:val="20"/>
                <w:vertAlign w:val="superscript"/>
                <w:lang w:val="id-ID"/>
              </w:rPr>
              <w:t>a</w:t>
            </w:r>
            <w:r w:rsidRPr="006F4ECB">
              <w:rPr>
                <w:rFonts w:ascii="Times New Roman" w:eastAsia="Times New Roman" w:hAnsi="Times New Roman" w:cs="Times New Roman"/>
                <w:color w:val="000000"/>
                <w:sz w:val="20"/>
                <w:szCs w:val="20"/>
                <w:vertAlign w:val="superscript"/>
              </w:rPr>
              <w:t>,*</w:t>
            </w:r>
          </w:p>
        </w:tc>
        <w:tc>
          <w:tcPr>
            <w:tcW w:w="1417" w:type="dxa"/>
            <w:noWrap/>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lang w:val="id-ID"/>
              </w:rPr>
            </w:pPr>
            <w:r w:rsidRPr="006F4ECB">
              <w:rPr>
                <w:rFonts w:ascii="Times New Roman" w:eastAsia="Times New Roman" w:hAnsi="Times New Roman" w:cs="Times New Roman"/>
                <w:color w:val="000000"/>
                <w:sz w:val="20"/>
                <w:szCs w:val="20"/>
              </w:rPr>
              <w:t>1±0,0</w:t>
            </w:r>
            <w:r w:rsidR="008B2125">
              <w:rPr>
                <w:rFonts w:ascii="Times New Roman" w:eastAsia="Times New Roman" w:hAnsi="Times New Roman" w:cs="Times New Roman"/>
                <w:color w:val="000000"/>
                <w:sz w:val="20"/>
                <w:szCs w:val="20"/>
                <w:vertAlign w:val="superscript"/>
              </w:rPr>
              <w:t>a</w:t>
            </w:r>
            <w:r w:rsidRPr="006F4ECB">
              <w:rPr>
                <w:rFonts w:ascii="Times New Roman" w:eastAsia="Times New Roman" w:hAnsi="Times New Roman" w:cs="Times New Roman"/>
                <w:color w:val="000000"/>
                <w:sz w:val="20"/>
                <w:szCs w:val="20"/>
                <w:vertAlign w:val="superscript"/>
              </w:rPr>
              <w:t>,*</w:t>
            </w:r>
          </w:p>
        </w:tc>
      </w:tr>
    </w:tbl>
    <w:p w:rsidR="005531DB" w:rsidRPr="006F4ECB" w:rsidRDefault="00266690"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sz w:val="20"/>
          <w:szCs w:val="20"/>
        </w:rPr>
        <w:t>Keterangan  :</w:t>
      </w:r>
      <w:r w:rsidRPr="006F4ECB">
        <w:rPr>
          <w:rFonts w:ascii="Times New Roman" w:hAnsi="Times New Roman" w:cs="Times New Roman"/>
          <w:sz w:val="20"/>
          <w:szCs w:val="20"/>
        </w:rPr>
        <w:t xml:space="preserve"> </w:t>
      </w:r>
      <w:r w:rsidR="00227C39">
        <w:rPr>
          <w:rFonts w:ascii="Times New Roman" w:hAnsi="Times New Roman" w:cs="Times New Roman"/>
          <w:b/>
          <w:sz w:val="20"/>
          <w:szCs w:val="20"/>
        </w:rPr>
        <w:t xml:space="preserve">Tabel 5.1 </w:t>
      </w:r>
      <w:r w:rsidR="00227C39">
        <w:rPr>
          <w:rFonts w:ascii="Times New Roman" w:hAnsi="Times New Roman" w:cs="Times New Roman"/>
          <w:b/>
          <w:i/>
          <w:sz w:val="20"/>
          <w:szCs w:val="20"/>
        </w:rPr>
        <w:t xml:space="preserve"> </w:t>
      </w:r>
      <w:r w:rsidR="00227C39">
        <w:rPr>
          <w:rFonts w:ascii="Times New Roman" w:hAnsi="Times New Roman" w:cs="Times New Roman"/>
          <w:sz w:val="20"/>
          <w:szCs w:val="20"/>
        </w:rPr>
        <w:t xml:space="preserve">menunjukkan hasil pengukuran edema lutut tikus dalam mean ± standar deviasi. </w:t>
      </w:r>
      <w:r w:rsidR="00D047E5">
        <w:rPr>
          <w:rFonts w:ascii="Times New Roman" w:hAnsi="Times New Roman" w:cs="Times New Roman"/>
          <w:sz w:val="20"/>
          <w:szCs w:val="20"/>
        </w:rPr>
        <w:t xml:space="preserve">Notasi a menunjukkan hasil yang berbeda signifikan terhadap KN. </w:t>
      </w:r>
      <w:r w:rsidRPr="006F4ECB">
        <w:rPr>
          <w:rFonts w:ascii="Times New Roman" w:hAnsi="Times New Roman" w:cs="Times New Roman"/>
          <w:sz w:val="20"/>
          <w:szCs w:val="20"/>
        </w:rPr>
        <w:t>Notasi b menunjukkan hasil yang</w:t>
      </w:r>
      <w:r w:rsidR="008B2125">
        <w:rPr>
          <w:rFonts w:ascii="Times New Roman" w:hAnsi="Times New Roman" w:cs="Times New Roman"/>
          <w:sz w:val="20"/>
          <w:szCs w:val="20"/>
        </w:rPr>
        <w:t xml:space="preserve"> tidak</w:t>
      </w:r>
      <w:r w:rsidR="00227C39">
        <w:rPr>
          <w:rFonts w:ascii="Times New Roman" w:hAnsi="Times New Roman" w:cs="Times New Roman"/>
          <w:sz w:val="20"/>
          <w:szCs w:val="20"/>
        </w:rPr>
        <w:t xml:space="preserve"> berbeda signifikan terhadap KN</w:t>
      </w:r>
      <w:r w:rsidRPr="006F4ECB">
        <w:rPr>
          <w:rFonts w:ascii="Times New Roman" w:hAnsi="Times New Roman" w:cs="Times New Roman"/>
          <w:sz w:val="20"/>
          <w:szCs w:val="20"/>
        </w:rPr>
        <w:t>.</w:t>
      </w:r>
      <w:r w:rsidR="005843BD">
        <w:rPr>
          <w:rFonts w:ascii="Times New Roman" w:hAnsi="Times New Roman" w:cs="Times New Roman"/>
          <w:sz w:val="20"/>
          <w:szCs w:val="20"/>
        </w:rPr>
        <w:t xml:space="preserve"> </w:t>
      </w:r>
      <w:r w:rsidR="00227C39">
        <w:rPr>
          <w:rFonts w:ascii="Times New Roman" w:hAnsi="Times New Roman" w:cs="Times New Roman"/>
          <w:sz w:val="20"/>
          <w:szCs w:val="20"/>
        </w:rPr>
        <w:t>Notasi * menunjukkan hasil berbeda signifkan dengan P1.</w:t>
      </w:r>
    </w:p>
    <w:p w:rsidR="003242F0" w:rsidRPr="006F4ECB" w:rsidRDefault="005843BD" w:rsidP="006F4ECB">
      <w:pPr>
        <w:spacing w:after="0" w:line="240" w:lineRule="auto"/>
        <w:jc w:val="both"/>
        <w:rPr>
          <w:rFonts w:ascii="Times New Roman" w:eastAsiaTheme="minorEastAsia" w:hAnsi="Times New Roman" w:cs="Times New Roman"/>
          <w:sz w:val="20"/>
          <w:szCs w:val="20"/>
        </w:rPr>
        <w:sectPr w:rsidR="003242F0" w:rsidRPr="006F4ECB" w:rsidSect="003242F0">
          <w:type w:val="continuous"/>
          <w:pgSz w:w="11906" w:h="16838"/>
          <w:pgMar w:top="1440" w:right="1440" w:bottom="1440" w:left="1440" w:header="708" w:footer="708" w:gutter="0"/>
          <w:cols w:space="708"/>
          <w:docGrid w:linePitch="360"/>
        </w:sectPr>
      </w:pPr>
      <w:r>
        <w:rPr>
          <w:rFonts w:ascii="Times New Roman" w:eastAsiaTheme="minorEastAsia" w:hAnsi="Times New Roman" w:cs="Times New Roman"/>
          <w:sz w:val="20"/>
          <w:szCs w:val="20"/>
        </w:rPr>
        <w:t xml:space="preserve">      </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lastRenderedPageBreak/>
        <w:t xml:space="preserve">       </w:t>
      </w:r>
      <w:r w:rsidR="00227C39">
        <w:rPr>
          <w:rFonts w:ascii="Times New Roman" w:hAnsi="Times New Roman" w:cs="Times New Roman"/>
          <w:sz w:val="20"/>
          <w:szCs w:val="20"/>
        </w:rPr>
        <w:t xml:space="preserve">Selain mengukur derajat edema, untuk melihat </w:t>
      </w:r>
      <w:r w:rsidRPr="006F4ECB">
        <w:rPr>
          <w:rFonts w:ascii="Times New Roman" w:hAnsi="Times New Roman" w:cs="Times New Roman"/>
          <w:sz w:val="20"/>
          <w:szCs w:val="20"/>
        </w:rPr>
        <w:t>efek pemberian induksi CFA pada lutut kaki kanan tikus maka dapat dilihat dari gejala klinisnya. Gejala klinis OA pada tikus seperti pada hari ke tiga pasca injeksi CFA tikus tidak menggunakan kaki kanannya untuk berjalan, selain itu aktifitas tikus yang mulai tidak aktif juga menjadi penanda.</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lastRenderedPageBreak/>
        <w:t xml:space="preserve">       </w:t>
      </w: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Hasil Pengukuran Kadar IL-1β Serum Terhadap Efek Kombinasi Dekokta </w:t>
      </w:r>
      <w:r w:rsidR="008832B7" w:rsidRPr="006F4ECB">
        <w:rPr>
          <w:rFonts w:ascii="Times New Roman" w:hAnsi="Times New Roman" w:cs="Times New Roman"/>
          <w:b/>
          <w:sz w:val="20"/>
          <w:szCs w:val="20"/>
        </w:rPr>
        <w:t>RJMA</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Kadar IL-1β serum terhadap pemberian kombinasi dekokta rimpang (JMA) dapat dilihat pada </w:t>
      </w:r>
      <w:r w:rsidRPr="006F4ECB">
        <w:rPr>
          <w:rFonts w:ascii="Times New Roman" w:hAnsi="Times New Roman" w:cs="Times New Roman"/>
          <w:b/>
          <w:sz w:val="20"/>
          <w:szCs w:val="20"/>
        </w:rPr>
        <w:t>tabel 5.2</w:t>
      </w:r>
      <w:r w:rsidRPr="006F4ECB">
        <w:rPr>
          <w:rFonts w:ascii="Times New Roman" w:hAnsi="Times New Roman" w:cs="Times New Roman"/>
          <w:sz w:val="20"/>
          <w:szCs w:val="20"/>
        </w:rPr>
        <w:t xml:space="preserve">. Kadar IL-1β pada P1, P2, dan P3 dibandingkan dengan KP mengalami penurunan </w:t>
      </w:r>
      <w:r w:rsidRPr="006F4ECB">
        <w:rPr>
          <w:rFonts w:ascii="Times New Roman" w:hAnsi="Times New Roman" w:cs="Times New Roman"/>
          <w:sz w:val="20"/>
          <w:szCs w:val="20"/>
        </w:rPr>
        <w:lastRenderedPageBreak/>
        <w:t>mendekati normal</w:t>
      </w:r>
      <w:r w:rsidR="00F26711">
        <w:rPr>
          <w:rFonts w:ascii="Times New Roman" w:hAnsi="Times New Roman" w:cs="Times New Roman"/>
          <w:sz w:val="20"/>
          <w:szCs w:val="20"/>
        </w:rPr>
        <w:t xml:space="preserve"> yaitu; </w:t>
      </w:r>
      <w:r w:rsidR="00F26711" w:rsidRPr="006F4ECB">
        <w:rPr>
          <w:rFonts w:ascii="Times New Roman" w:hAnsi="Times New Roman" w:cs="Times New Roman"/>
          <w:sz w:val="20"/>
          <w:szCs w:val="20"/>
        </w:rPr>
        <w:t>0,24153020±0,0000013</w:t>
      </w:r>
      <w:r w:rsidR="00F26711">
        <w:rPr>
          <w:rFonts w:ascii="Times New Roman" w:hAnsi="Times New Roman" w:cs="Times New Roman"/>
          <w:sz w:val="20"/>
          <w:szCs w:val="20"/>
        </w:rPr>
        <w:t xml:space="preserve">; </w:t>
      </w:r>
      <w:r w:rsidR="00F26711" w:rsidRPr="006F4ECB">
        <w:rPr>
          <w:rFonts w:ascii="Times New Roman" w:hAnsi="Times New Roman" w:cs="Times New Roman"/>
          <w:sz w:val="20"/>
          <w:szCs w:val="20"/>
        </w:rPr>
        <w:t>0,24153520±0,0000016</w:t>
      </w:r>
      <w:r w:rsidR="00F26711">
        <w:rPr>
          <w:rFonts w:ascii="Times New Roman" w:hAnsi="Times New Roman" w:cs="Times New Roman"/>
          <w:sz w:val="20"/>
          <w:szCs w:val="20"/>
        </w:rPr>
        <w:t xml:space="preserve">; </w:t>
      </w:r>
      <w:r w:rsidR="00F26711" w:rsidRPr="006F4ECB">
        <w:rPr>
          <w:rFonts w:ascii="Times New Roman" w:hAnsi="Times New Roman" w:cs="Times New Roman"/>
          <w:sz w:val="20"/>
          <w:szCs w:val="20"/>
        </w:rPr>
        <w:t>0,24155484±0,0000055</w:t>
      </w:r>
      <w:r w:rsidR="00F26711">
        <w:rPr>
          <w:rFonts w:ascii="Times New Roman" w:hAnsi="Times New Roman" w:cs="Times New Roman"/>
          <w:sz w:val="20"/>
          <w:szCs w:val="20"/>
        </w:rPr>
        <w:t xml:space="preserve"> </w:t>
      </w:r>
      <w:r w:rsidRPr="006F4ECB">
        <w:rPr>
          <w:rFonts w:ascii="Times New Roman" w:hAnsi="Times New Roman" w:cs="Times New Roman"/>
          <w:sz w:val="20"/>
          <w:szCs w:val="20"/>
        </w:rPr>
        <w:t xml:space="preserve">namun perbedaannya terlalu kecil. Pada kelompok perlakuan P3, kadar IL-1β yang paling mendekati dengan kelompok kontrol negatif. </w:t>
      </w:r>
    </w:p>
    <w:p w:rsidR="008A6268" w:rsidRPr="006F4ECB" w:rsidRDefault="008A6268"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Tabel 5.2 Rerata </w:t>
      </w:r>
      <w:r w:rsidR="006F4ECB" w:rsidRPr="006F4ECB">
        <w:rPr>
          <w:rFonts w:ascii="Times New Roman" w:hAnsi="Times New Roman" w:cs="Times New Roman"/>
          <w:b/>
          <w:sz w:val="20"/>
          <w:szCs w:val="20"/>
        </w:rPr>
        <w:t xml:space="preserve">Kadar </w:t>
      </w:r>
      <w:r w:rsidRPr="006F4ECB">
        <w:rPr>
          <w:rFonts w:ascii="Times New Roman" w:hAnsi="Times New Roman" w:cs="Times New Roman"/>
          <w:b/>
          <w:sz w:val="20"/>
          <w:szCs w:val="20"/>
        </w:rPr>
        <w:t>IL</w:t>
      </w:r>
      <w:r w:rsidR="006F4ECB" w:rsidRPr="006F4ECB">
        <w:rPr>
          <w:rFonts w:ascii="Times New Roman" w:hAnsi="Times New Roman" w:cs="Times New Roman"/>
          <w:b/>
          <w:sz w:val="20"/>
          <w:szCs w:val="20"/>
        </w:rPr>
        <w:t xml:space="preserve">-1β Serum Tikus Yang Diberi </w:t>
      </w:r>
      <w:r w:rsidRPr="006F4ECB">
        <w:rPr>
          <w:rFonts w:ascii="Times New Roman" w:hAnsi="Times New Roman" w:cs="Times New Roman"/>
          <w:b/>
          <w:sz w:val="20"/>
          <w:szCs w:val="20"/>
        </w:rPr>
        <w:t xml:space="preserve">Kombinasi Dekokta </w:t>
      </w:r>
      <w:r w:rsidR="008832B7" w:rsidRPr="006F4ECB">
        <w:rPr>
          <w:rFonts w:ascii="Times New Roman" w:hAnsi="Times New Roman" w:cs="Times New Roman"/>
          <w:b/>
          <w:sz w:val="20"/>
          <w:szCs w:val="20"/>
        </w:rPr>
        <w:t>RJMA</w:t>
      </w:r>
    </w:p>
    <w:p w:rsidR="006F4ECB" w:rsidRPr="006F4ECB" w:rsidRDefault="006F4ECB" w:rsidP="006F4ECB">
      <w:pPr>
        <w:spacing w:after="0" w:line="240" w:lineRule="auto"/>
        <w:jc w:val="both"/>
        <w:rPr>
          <w:rFonts w:ascii="Times New Roman" w:hAnsi="Times New Roman" w:cs="Times New Roman"/>
          <w:b/>
          <w:sz w:val="20"/>
          <w:szCs w:val="20"/>
        </w:rPr>
      </w:pPr>
    </w:p>
    <w:tbl>
      <w:tblPr>
        <w:tblStyle w:val="PlainTable21"/>
        <w:tblW w:w="4390" w:type="dxa"/>
        <w:tblLook w:val="04A0" w:firstRow="1" w:lastRow="0" w:firstColumn="1" w:lastColumn="0" w:noHBand="0" w:noVBand="1"/>
      </w:tblPr>
      <w:tblGrid>
        <w:gridCol w:w="533"/>
        <w:gridCol w:w="395"/>
        <w:gridCol w:w="3462"/>
      </w:tblGrid>
      <w:tr w:rsidR="005531DB" w:rsidRPr="006F4ECB" w:rsidTr="00706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p>
        </w:tc>
        <w:tc>
          <w:tcPr>
            <w:tcW w:w="395" w:type="dxa"/>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N</w:t>
            </w:r>
          </w:p>
        </w:tc>
        <w:tc>
          <w:tcPr>
            <w:tcW w:w="3462" w:type="dxa"/>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F4ECB">
              <w:rPr>
                <w:rFonts w:ascii="Times New Roman" w:hAnsi="Times New Roman" w:cs="Times New Roman"/>
                <w:sz w:val="20"/>
                <w:szCs w:val="20"/>
              </w:rPr>
              <w:t>Rerata</w:t>
            </w:r>
            <w:proofErr w:type="spellEnd"/>
            <w:r w:rsidRPr="006F4ECB">
              <w:rPr>
                <w:rFonts w:ascii="Times New Roman" w:hAnsi="Times New Roman" w:cs="Times New Roman"/>
                <w:sz w:val="20"/>
                <w:szCs w:val="20"/>
              </w:rPr>
              <w:t xml:space="preserve"> Kadar IL-1β</w:t>
            </w:r>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KN</w:t>
            </w:r>
          </w:p>
        </w:tc>
        <w:tc>
          <w:tcPr>
            <w:tcW w:w="395"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3462" w:type="dxa"/>
          </w:tcPr>
          <w:p w:rsidR="005531DB" w:rsidRPr="00837297" w:rsidRDefault="00B624A0"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2,56</w:t>
            </w:r>
            <w:r w:rsidR="00837297">
              <w:rPr>
                <w:rFonts w:ascii="Times New Roman" w:hAnsi="Times New Roman" w:cs="Times New Roman"/>
                <w:sz w:val="20"/>
                <w:szCs w:val="20"/>
              </w:rPr>
              <w:t>±0,</w:t>
            </w:r>
            <w:r>
              <w:rPr>
                <w:rFonts w:ascii="Times New Roman" w:hAnsi="Times New Roman" w:cs="Times New Roman"/>
                <w:sz w:val="20"/>
                <w:szCs w:val="20"/>
              </w:rPr>
              <w:t>66</w:t>
            </w:r>
          </w:p>
        </w:tc>
      </w:tr>
      <w:tr w:rsidR="005531DB" w:rsidRPr="006F4ECB" w:rsidTr="00706750">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KP</w:t>
            </w:r>
          </w:p>
        </w:tc>
        <w:tc>
          <w:tcPr>
            <w:tcW w:w="395"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3462" w:type="dxa"/>
          </w:tcPr>
          <w:p w:rsidR="005531DB" w:rsidRPr="00837297" w:rsidRDefault="00837297" w:rsidP="00837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4,56</w:t>
            </w:r>
            <w:r w:rsidR="00B624A0">
              <w:rPr>
                <w:rFonts w:ascii="Times New Roman" w:hAnsi="Times New Roman" w:cs="Times New Roman"/>
                <w:sz w:val="20"/>
                <w:szCs w:val="20"/>
              </w:rPr>
              <w:t>±1,40</w:t>
            </w:r>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P1</w:t>
            </w:r>
          </w:p>
        </w:tc>
        <w:tc>
          <w:tcPr>
            <w:tcW w:w="395"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3462" w:type="dxa"/>
          </w:tcPr>
          <w:p w:rsidR="005531DB" w:rsidRPr="00837297" w:rsidRDefault="00837297" w:rsidP="0083729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1,78</w:t>
            </w:r>
            <w:r w:rsidR="00B624A0">
              <w:rPr>
                <w:rFonts w:ascii="Times New Roman" w:hAnsi="Times New Roman" w:cs="Times New Roman"/>
                <w:sz w:val="20"/>
                <w:szCs w:val="20"/>
              </w:rPr>
              <w:t>±0,40</w:t>
            </w:r>
          </w:p>
        </w:tc>
      </w:tr>
      <w:tr w:rsidR="005531DB" w:rsidRPr="006F4ECB" w:rsidTr="00706750">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P2</w:t>
            </w:r>
          </w:p>
        </w:tc>
        <w:tc>
          <w:tcPr>
            <w:tcW w:w="395"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3462" w:type="dxa"/>
          </w:tcPr>
          <w:p w:rsidR="005531DB" w:rsidRPr="00837297" w:rsidRDefault="00837297" w:rsidP="0083729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2,06</w:t>
            </w:r>
            <w:r w:rsidR="00B624A0">
              <w:rPr>
                <w:rFonts w:ascii="Times New Roman" w:hAnsi="Times New Roman" w:cs="Times New Roman"/>
                <w:sz w:val="20"/>
                <w:szCs w:val="20"/>
              </w:rPr>
              <w:t>±046</w:t>
            </w:r>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P3</w:t>
            </w:r>
          </w:p>
        </w:tc>
        <w:tc>
          <w:tcPr>
            <w:tcW w:w="395"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3462" w:type="dxa"/>
          </w:tcPr>
          <w:p w:rsidR="005531DB" w:rsidRPr="00B624A0" w:rsidRDefault="00B624A0" w:rsidP="00B624A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rPr>
              <w:t>2,32±0,</w:t>
            </w:r>
            <w:r>
              <w:rPr>
                <w:rFonts w:ascii="Times New Roman" w:hAnsi="Times New Roman" w:cs="Times New Roman"/>
                <w:sz w:val="20"/>
                <w:szCs w:val="20"/>
                <w:lang w:val="id-ID"/>
              </w:rPr>
              <w:t>16</w:t>
            </w:r>
          </w:p>
        </w:tc>
      </w:tr>
    </w:tbl>
    <w:p w:rsidR="008A6268" w:rsidRPr="006F4ECB" w:rsidRDefault="008A6268" w:rsidP="006F4ECB">
      <w:pPr>
        <w:spacing w:after="0" w:line="240" w:lineRule="auto"/>
        <w:jc w:val="both"/>
        <w:rPr>
          <w:rFonts w:ascii="Times New Roman" w:hAnsi="Times New Roman" w:cs="Times New Roman"/>
          <w:sz w:val="20"/>
          <w:szCs w:val="20"/>
        </w:rPr>
      </w:pPr>
    </w:p>
    <w:p w:rsidR="008A6268" w:rsidRPr="006F4ECB" w:rsidRDefault="008A6268" w:rsidP="006F4ECB">
      <w:pPr>
        <w:spacing w:after="0" w:line="240" w:lineRule="auto"/>
        <w:jc w:val="both"/>
        <w:rPr>
          <w:rFonts w:ascii="Times New Roman" w:hAnsi="Times New Roman" w:cs="Times New Roman"/>
          <w:sz w:val="20"/>
          <w:szCs w:val="20"/>
        </w:rPr>
      </w:pPr>
    </w:p>
    <w:p w:rsidR="008A6268" w:rsidRPr="006F4ECB" w:rsidRDefault="008A6268"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Uji normalitas dan homogenitas dari pemberian kombinasi dekokta rimpang jahe merah dan alang-alang terhadap kadar IL-1β memberikan hasil yang signifikan (p &gt; 0,05). Uji statistik parametrik </w:t>
      </w:r>
      <w:r w:rsidRPr="006F4ECB">
        <w:rPr>
          <w:rFonts w:ascii="Times New Roman" w:hAnsi="Times New Roman" w:cs="Times New Roman"/>
          <w:i/>
          <w:sz w:val="20"/>
          <w:szCs w:val="20"/>
        </w:rPr>
        <w:t xml:space="preserve">oneway </w:t>
      </w:r>
      <w:r w:rsidRPr="006F4ECB">
        <w:rPr>
          <w:rFonts w:ascii="Times New Roman" w:hAnsi="Times New Roman" w:cs="Times New Roman"/>
          <w:sz w:val="20"/>
          <w:szCs w:val="20"/>
        </w:rPr>
        <w:t xml:space="preserve">menggunakan uji anova memiliki hasil yang signifikan (p&lt;0,05). Dilanjutkan dengan uji korelasi menunnjukkan hasil signifikan yang bersifat negatif (p&lt;0,05). </w:t>
      </w:r>
    </w:p>
    <w:p w:rsidR="008A6268" w:rsidRPr="006F4ECB" w:rsidRDefault="008A6268" w:rsidP="006F4ECB">
      <w:pPr>
        <w:spacing w:after="0" w:line="240" w:lineRule="auto"/>
        <w:jc w:val="both"/>
        <w:rPr>
          <w:rFonts w:ascii="Times New Roman" w:hAnsi="Times New Roman" w:cs="Times New Roman"/>
          <w:b/>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Hasil Pengukuran Jumlah Leukosit Terhadap Efek Kombinasi Dekokta </w:t>
      </w:r>
      <w:r w:rsidR="008832B7" w:rsidRPr="006F4ECB">
        <w:rPr>
          <w:rFonts w:ascii="Times New Roman" w:hAnsi="Times New Roman" w:cs="Times New Roman"/>
          <w:b/>
          <w:sz w:val="20"/>
          <w:szCs w:val="20"/>
        </w:rPr>
        <w:t>RJMA</w:t>
      </w:r>
      <w:r w:rsidRPr="006F4ECB">
        <w:rPr>
          <w:rFonts w:ascii="Times New Roman" w:hAnsi="Times New Roman" w:cs="Times New Roman"/>
          <w:b/>
          <w:sz w:val="20"/>
          <w:szCs w:val="20"/>
        </w:rPr>
        <w:t xml:space="preserve"> </w:t>
      </w:r>
    </w:p>
    <w:p w:rsidR="00A16A1D"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Jumlah leukosit terhadap pemberian kombinasi dekokta rimpang (JMA) dapat dilihat pada </w:t>
      </w:r>
      <w:r w:rsidRPr="006F4ECB">
        <w:rPr>
          <w:rFonts w:ascii="Times New Roman" w:hAnsi="Times New Roman" w:cs="Times New Roman"/>
          <w:b/>
          <w:sz w:val="20"/>
          <w:szCs w:val="20"/>
        </w:rPr>
        <w:t>tabel 5.3</w:t>
      </w:r>
      <w:r w:rsidRPr="006F4ECB">
        <w:rPr>
          <w:rFonts w:ascii="Times New Roman" w:hAnsi="Times New Roman" w:cs="Times New Roman"/>
          <w:sz w:val="20"/>
          <w:szCs w:val="20"/>
        </w:rPr>
        <w:t>. Kadar IL-1β pada P1, P2, dan P3 dibandingkan dengan KP mengalami penurunan mendekati normal</w:t>
      </w:r>
      <w:r w:rsidR="00F26711">
        <w:rPr>
          <w:rFonts w:ascii="Times New Roman" w:hAnsi="Times New Roman" w:cs="Times New Roman"/>
          <w:sz w:val="20"/>
          <w:szCs w:val="20"/>
        </w:rPr>
        <w:t xml:space="preserve"> yaitu: </w:t>
      </w:r>
      <w:r w:rsidR="00F26711" w:rsidRPr="006F4ECB">
        <w:rPr>
          <w:rFonts w:ascii="Times New Roman" w:hAnsi="Times New Roman" w:cs="Times New Roman"/>
          <w:sz w:val="20"/>
          <w:szCs w:val="20"/>
        </w:rPr>
        <w:t>4,44</w:t>
      </w:r>
      <w:r w:rsidR="00F26711" w:rsidRPr="006F4ECB">
        <w:rPr>
          <w:rFonts w:ascii="Times New Roman" w:eastAsia="Times New Roman" w:hAnsi="Times New Roman" w:cs="Times New Roman"/>
          <w:color w:val="000000"/>
          <w:sz w:val="20"/>
          <w:szCs w:val="20"/>
        </w:rPr>
        <w:t>±1,04</w:t>
      </w:r>
      <w:r w:rsidR="00F26711">
        <w:rPr>
          <w:rFonts w:ascii="Times New Roman" w:eastAsia="Times New Roman" w:hAnsi="Times New Roman" w:cs="Times New Roman"/>
          <w:color w:val="000000"/>
          <w:sz w:val="20"/>
          <w:szCs w:val="20"/>
        </w:rPr>
        <w:t xml:space="preserve">; </w:t>
      </w:r>
      <w:r w:rsidR="00F26711" w:rsidRPr="006F4ECB">
        <w:rPr>
          <w:rFonts w:ascii="Times New Roman" w:hAnsi="Times New Roman" w:cs="Times New Roman"/>
          <w:sz w:val="20"/>
          <w:szCs w:val="20"/>
        </w:rPr>
        <w:t>3,76</w:t>
      </w:r>
      <w:r w:rsidR="00F26711" w:rsidRPr="006F4ECB">
        <w:rPr>
          <w:rFonts w:ascii="Times New Roman" w:eastAsia="Times New Roman" w:hAnsi="Times New Roman" w:cs="Times New Roman"/>
          <w:color w:val="000000"/>
          <w:sz w:val="20"/>
          <w:szCs w:val="20"/>
        </w:rPr>
        <w:t>±0,35</w:t>
      </w:r>
      <w:r w:rsidR="00F26711">
        <w:rPr>
          <w:rFonts w:ascii="Times New Roman" w:eastAsia="Times New Roman" w:hAnsi="Times New Roman" w:cs="Times New Roman"/>
          <w:color w:val="000000"/>
          <w:sz w:val="20"/>
          <w:szCs w:val="20"/>
        </w:rPr>
        <w:t>;</w:t>
      </w:r>
      <w:r w:rsidR="00F26711" w:rsidRPr="00F26711">
        <w:rPr>
          <w:rFonts w:ascii="Times New Roman" w:hAnsi="Times New Roman" w:cs="Times New Roman"/>
          <w:sz w:val="20"/>
          <w:szCs w:val="20"/>
        </w:rPr>
        <w:t xml:space="preserve"> </w:t>
      </w:r>
      <w:r w:rsidR="00F26711" w:rsidRPr="006F4ECB">
        <w:rPr>
          <w:rFonts w:ascii="Times New Roman" w:hAnsi="Times New Roman" w:cs="Times New Roman"/>
          <w:sz w:val="20"/>
          <w:szCs w:val="20"/>
        </w:rPr>
        <w:t>8,94</w:t>
      </w:r>
      <w:r w:rsidR="00F26711" w:rsidRPr="006F4ECB">
        <w:rPr>
          <w:rFonts w:ascii="Times New Roman" w:eastAsia="Times New Roman" w:hAnsi="Times New Roman" w:cs="Times New Roman"/>
          <w:color w:val="000000"/>
          <w:sz w:val="20"/>
          <w:szCs w:val="20"/>
        </w:rPr>
        <w:t>±4,66</w:t>
      </w:r>
      <w:r w:rsidRPr="006F4ECB">
        <w:rPr>
          <w:rFonts w:ascii="Times New Roman" w:hAnsi="Times New Roman" w:cs="Times New Roman"/>
          <w:sz w:val="20"/>
          <w:szCs w:val="20"/>
        </w:rPr>
        <w:t xml:space="preserve">. Pada kelompok perlakuan P3, jumlah leukosit yang paling mendekati dengan kelompok kontrol negatif. </w:t>
      </w:r>
    </w:p>
    <w:p w:rsidR="008A6268" w:rsidRPr="006F4ECB" w:rsidRDefault="008A6268"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Tabel </w:t>
      </w:r>
      <w:r w:rsidR="006F4ECB" w:rsidRPr="006F4ECB">
        <w:rPr>
          <w:rFonts w:ascii="Times New Roman" w:hAnsi="Times New Roman" w:cs="Times New Roman"/>
          <w:b/>
          <w:sz w:val="20"/>
          <w:szCs w:val="20"/>
        </w:rPr>
        <w:t xml:space="preserve">5.3 </w:t>
      </w:r>
      <w:r w:rsidRPr="006F4ECB">
        <w:rPr>
          <w:rFonts w:ascii="Times New Roman" w:hAnsi="Times New Roman" w:cs="Times New Roman"/>
          <w:b/>
          <w:sz w:val="20"/>
          <w:szCs w:val="20"/>
        </w:rPr>
        <w:t xml:space="preserve">Rerata </w:t>
      </w:r>
      <w:r w:rsidR="006F4ECB" w:rsidRPr="006F4ECB">
        <w:rPr>
          <w:rFonts w:ascii="Times New Roman" w:hAnsi="Times New Roman" w:cs="Times New Roman"/>
          <w:b/>
          <w:sz w:val="20"/>
          <w:szCs w:val="20"/>
        </w:rPr>
        <w:t>Jumlah Leukosit Tikus Yang Diberi Kombinasi Dekokta R</w:t>
      </w:r>
      <w:r w:rsidRPr="006F4ECB">
        <w:rPr>
          <w:rFonts w:ascii="Times New Roman" w:hAnsi="Times New Roman" w:cs="Times New Roman"/>
          <w:b/>
          <w:sz w:val="20"/>
          <w:szCs w:val="20"/>
        </w:rPr>
        <w:t>JMA</w:t>
      </w:r>
    </w:p>
    <w:p w:rsidR="006F4ECB" w:rsidRPr="006F4ECB" w:rsidRDefault="006F4ECB" w:rsidP="006F4ECB">
      <w:pPr>
        <w:spacing w:after="0" w:line="240" w:lineRule="auto"/>
        <w:jc w:val="both"/>
        <w:rPr>
          <w:rFonts w:ascii="Times New Roman" w:hAnsi="Times New Roman" w:cs="Times New Roman"/>
          <w:b/>
          <w:sz w:val="20"/>
          <w:szCs w:val="20"/>
        </w:rPr>
      </w:pPr>
    </w:p>
    <w:tbl>
      <w:tblPr>
        <w:tblStyle w:val="PlainTable21"/>
        <w:tblW w:w="0" w:type="auto"/>
        <w:tblLook w:val="04A0" w:firstRow="1" w:lastRow="0" w:firstColumn="1" w:lastColumn="0" w:noHBand="0" w:noVBand="1"/>
      </w:tblPr>
      <w:tblGrid>
        <w:gridCol w:w="958"/>
        <w:gridCol w:w="928"/>
        <w:gridCol w:w="2273"/>
      </w:tblGrid>
      <w:tr w:rsidR="005531DB" w:rsidRPr="006F4ECB" w:rsidTr="00706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p>
        </w:tc>
        <w:tc>
          <w:tcPr>
            <w:tcW w:w="951" w:type="dxa"/>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N</w:t>
            </w:r>
          </w:p>
        </w:tc>
        <w:tc>
          <w:tcPr>
            <w:tcW w:w="2320" w:type="dxa"/>
          </w:tcPr>
          <w:p w:rsidR="005531DB" w:rsidRPr="006F4ECB" w:rsidRDefault="005531DB"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6F4ECB">
              <w:rPr>
                <w:rFonts w:ascii="Times New Roman" w:hAnsi="Times New Roman" w:cs="Times New Roman"/>
                <w:sz w:val="20"/>
                <w:szCs w:val="20"/>
              </w:rPr>
              <w:t>Rerata</w:t>
            </w:r>
            <w:proofErr w:type="spellEnd"/>
            <w:r w:rsidRPr="006F4ECB">
              <w:rPr>
                <w:rFonts w:ascii="Times New Roman" w:hAnsi="Times New Roman" w:cs="Times New Roman"/>
                <w:sz w:val="20"/>
                <w:szCs w:val="20"/>
              </w:rPr>
              <w:t xml:space="preserve"> </w:t>
            </w:r>
            <w:proofErr w:type="spellStart"/>
            <w:r w:rsidR="00980B93" w:rsidRPr="006F4ECB">
              <w:rPr>
                <w:rFonts w:ascii="Times New Roman" w:hAnsi="Times New Roman" w:cs="Times New Roman"/>
                <w:sz w:val="20"/>
                <w:szCs w:val="20"/>
              </w:rPr>
              <w:t>Jumlah</w:t>
            </w:r>
            <w:proofErr w:type="spellEnd"/>
            <w:r w:rsidR="00980B93" w:rsidRPr="006F4ECB">
              <w:rPr>
                <w:rFonts w:ascii="Times New Roman" w:hAnsi="Times New Roman" w:cs="Times New Roman"/>
                <w:sz w:val="20"/>
                <w:szCs w:val="20"/>
              </w:rPr>
              <w:t xml:space="preserve"> </w:t>
            </w:r>
            <w:proofErr w:type="spellStart"/>
            <w:r w:rsidR="00980B93" w:rsidRPr="006F4ECB">
              <w:rPr>
                <w:rFonts w:ascii="Times New Roman" w:hAnsi="Times New Roman" w:cs="Times New Roman"/>
                <w:sz w:val="20"/>
                <w:szCs w:val="20"/>
              </w:rPr>
              <w:t>Leukosit</w:t>
            </w:r>
            <w:proofErr w:type="spellEnd"/>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KN</w:t>
            </w:r>
          </w:p>
        </w:tc>
        <w:tc>
          <w:tcPr>
            <w:tcW w:w="951"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2320"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11,46</w:t>
            </w:r>
            <w:r w:rsidRPr="006F4ECB">
              <w:rPr>
                <w:rFonts w:ascii="Times New Roman" w:eastAsia="Times New Roman" w:hAnsi="Times New Roman" w:cs="Times New Roman"/>
                <w:color w:val="000000"/>
                <w:sz w:val="20"/>
                <w:szCs w:val="20"/>
              </w:rPr>
              <w:t>±7,7</w:t>
            </w:r>
          </w:p>
        </w:tc>
      </w:tr>
      <w:tr w:rsidR="005531DB" w:rsidRPr="006F4ECB" w:rsidTr="00706750">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KP</w:t>
            </w:r>
          </w:p>
        </w:tc>
        <w:tc>
          <w:tcPr>
            <w:tcW w:w="951"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2320"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53,84</w:t>
            </w:r>
            <w:r w:rsidRPr="006F4ECB">
              <w:rPr>
                <w:rFonts w:ascii="Times New Roman" w:eastAsia="Times New Roman" w:hAnsi="Times New Roman" w:cs="Times New Roman"/>
                <w:color w:val="000000"/>
                <w:sz w:val="20"/>
                <w:szCs w:val="20"/>
              </w:rPr>
              <w:t>±22,3</w:t>
            </w:r>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P1</w:t>
            </w:r>
          </w:p>
        </w:tc>
        <w:tc>
          <w:tcPr>
            <w:tcW w:w="951"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2320"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4,44</w:t>
            </w:r>
            <w:r w:rsidRPr="006F4ECB">
              <w:rPr>
                <w:rFonts w:ascii="Times New Roman" w:eastAsia="Times New Roman" w:hAnsi="Times New Roman" w:cs="Times New Roman"/>
                <w:color w:val="000000"/>
                <w:sz w:val="20"/>
                <w:szCs w:val="20"/>
              </w:rPr>
              <w:t>±1,04</w:t>
            </w:r>
          </w:p>
        </w:tc>
      </w:tr>
      <w:tr w:rsidR="005531DB" w:rsidRPr="006F4ECB" w:rsidTr="00706750">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P2</w:t>
            </w:r>
          </w:p>
        </w:tc>
        <w:tc>
          <w:tcPr>
            <w:tcW w:w="951"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2320" w:type="dxa"/>
          </w:tcPr>
          <w:p w:rsidR="005531DB" w:rsidRPr="006F4ECB" w:rsidRDefault="005531DB"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3,76</w:t>
            </w:r>
            <w:r w:rsidRPr="006F4ECB">
              <w:rPr>
                <w:rFonts w:ascii="Times New Roman" w:eastAsia="Times New Roman" w:hAnsi="Times New Roman" w:cs="Times New Roman"/>
                <w:color w:val="000000"/>
                <w:sz w:val="20"/>
                <w:szCs w:val="20"/>
              </w:rPr>
              <w:t>±0,35</w:t>
            </w:r>
          </w:p>
        </w:tc>
      </w:tr>
      <w:tr w:rsidR="005531DB" w:rsidRPr="006F4ECB" w:rsidTr="00706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 w:type="dxa"/>
          </w:tcPr>
          <w:p w:rsidR="005531DB" w:rsidRPr="006F4ECB" w:rsidRDefault="005531DB" w:rsidP="006F4ECB">
            <w:pPr>
              <w:jc w:val="both"/>
              <w:rPr>
                <w:rFonts w:ascii="Times New Roman" w:hAnsi="Times New Roman" w:cs="Times New Roman"/>
                <w:sz w:val="20"/>
                <w:szCs w:val="20"/>
              </w:rPr>
            </w:pPr>
            <w:r w:rsidRPr="006F4ECB">
              <w:rPr>
                <w:rFonts w:ascii="Times New Roman" w:hAnsi="Times New Roman" w:cs="Times New Roman"/>
                <w:sz w:val="20"/>
                <w:szCs w:val="20"/>
              </w:rPr>
              <w:t>P3</w:t>
            </w:r>
          </w:p>
        </w:tc>
        <w:tc>
          <w:tcPr>
            <w:tcW w:w="951"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5</w:t>
            </w:r>
          </w:p>
        </w:tc>
        <w:tc>
          <w:tcPr>
            <w:tcW w:w="2320" w:type="dxa"/>
          </w:tcPr>
          <w:p w:rsidR="005531DB" w:rsidRPr="006F4ECB" w:rsidRDefault="005531DB"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4ECB">
              <w:rPr>
                <w:rFonts w:ascii="Times New Roman" w:hAnsi="Times New Roman" w:cs="Times New Roman"/>
                <w:sz w:val="20"/>
                <w:szCs w:val="20"/>
              </w:rPr>
              <w:t>8,94</w:t>
            </w:r>
            <w:r w:rsidRPr="006F4ECB">
              <w:rPr>
                <w:rFonts w:ascii="Times New Roman" w:eastAsia="Times New Roman" w:hAnsi="Times New Roman" w:cs="Times New Roman"/>
                <w:color w:val="000000"/>
                <w:sz w:val="20"/>
                <w:szCs w:val="20"/>
              </w:rPr>
              <w:t>±4,66</w:t>
            </w:r>
          </w:p>
        </w:tc>
      </w:tr>
    </w:tbl>
    <w:p w:rsidR="005531DB" w:rsidRPr="006F4ECB" w:rsidRDefault="005531DB" w:rsidP="006F4ECB">
      <w:pPr>
        <w:spacing w:after="0" w:line="240" w:lineRule="auto"/>
        <w:jc w:val="both"/>
        <w:rPr>
          <w:rFonts w:ascii="Times New Roman" w:hAnsi="Times New Roman" w:cs="Times New Roman"/>
          <w:b/>
          <w:sz w:val="20"/>
          <w:szCs w:val="20"/>
        </w:rPr>
      </w:pPr>
    </w:p>
    <w:p w:rsidR="005531DB" w:rsidRDefault="008A6268"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Uji normalitas dan homogenitas dari pemberian kombinasi dekokta rimpang jahe merah dan alang-alang terhadap jumlah leukosit memberikan hasil yang signifikan (p &gt; 0,05). Uji statistik parametrik </w:t>
      </w:r>
      <w:r w:rsidRPr="006F4ECB">
        <w:rPr>
          <w:rFonts w:ascii="Times New Roman" w:hAnsi="Times New Roman" w:cs="Times New Roman"/>
          <w:i/>
          <w:sz w:val="20"/>
          <w:szCs w:val="20"/>
        </w:rPr>
        <w:t xml:space="preserve">oneway </w:t>
      </w:r>
      <w:r w:rsidRPr="006F4ECB">
        <w:rPr>
          <w:rFonts w:ascii="Times New Roman" w:hAnsi="Times New Roman" w:cs="Times New Roman"/>
          <w:sz w:val="20"/>
          <w:szCs w:val="20"/>
        </w:rPr>
        <w:t xml:space="preserve">menggunakan uji anova memiliki hasil signifikan (p&lt;0,05). Dilanjutkan dengan uji korelasi menunnjukkan hasil signifikan yang bersifat negatif (p&lt;0,05). </w:t>
      </w:r>
    </w:p>
    <w:p w:rsidR="00F26711" w:rsidRPr="006F4ECB" w:rsidRDefault="00F26711" w:rsidP="006F4ECB">
      <w:pPr>
        <w:spacing w:after="0" w:line="240" w:lineRule="auto"/>
        <w:jc w:val="both"/>
        <w:rPr>
          <w:rFonts w:ascii="Times New Roman" w:hAnsi="Times New Roman" w:cs="Times New Roman"/>
          <w:b/>
          <w:sz w:val="20"/>
          <w:szCs w:val="20"/>
        </w:rPr>
      </w:pPr>
    </w:p>
    <w:p w:rsidR="00D42143" w:rsidRPr="006F4ECB" w:rsidRDefault="00D42143"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sz w:val="20"/>
          <w:szCs w:val="20"/>
        </w:rPr>
        <w:t>Hasil Uji Korelasi Terhadap Pemberian Kombinasi Dekokta RJMA Pada Kadar IL-1β Serum dan Jumlah Leukosit</w:t>
      </w:r>
      <w:r w:rsidRPr="006F4ECB">
        <w:rPr>
          <w:rFonts w:ascii="Times New Roman" w:hAnsi="Times New Roman" w:cs="Times New Roman"/>
          <w:sz w:val="20"/>
          <w:szCs w:val="20"/>
        </w:rPr>
        <w:t xml:space="preserve">       </w:t>
      </w:r>
    </w:p>
    <w:p w:rsidR="008A6268"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sz w:val="20"/>
          <w:szCs w:val="20"/>
        </w:rPr>
        <w:t xml:space="preserve">       Uji korelasi antara kadar IL-1β</w:t>
      </w:r>
      <w:r w:rsidRPr="006F4ECB">
        <w:rPr>
          <w:rFonts w:ascii="Times New Roman" w:hAnsi="Times New Roman" w:cs="Times New Roman"/>
          <w:b/>
          <w:sz w:val="20"/>
          <w:szCs w:val="20"/>
        </w:rPr>
        <w:t xml:space="preserve"> </w:t>
      </w:r>
      <w:r w:rsidRPr="006F4ECB">
        <w:rPr>
          <w:rFonts w:ascii="Times New Roman" w:hAnsi="Times New Roman" w:cs="Times New Roman"/>
          <w:sz w:val="20"/>
          <w:szCs w:val="20"/>
        </w:rPr>
        <w:t xml:space="preserve">dengan jumlah leukosit </w:t>
      </w:r>
      <w:r w:rsidR="008A6268" w:rsidRPr="006F4ECB">
        <w:rPr>
          <w:rFonts w:ascii="Times New Roman" w:hAnsi="Times New Roman" w:cs="Times New Roman"/>
          <w:sz w:val="20"/>
          <w:szCs w:val="20"/>
        </w:rPr>
        <w:t xml:space="preserve">dapat dilihat pada </w:t>
      </w:r>
      <w:r w:rsidR="008A6268" w:rsidRPr="006F4ECB">
        <w:rPr>
          <w:rFonts w:ascii="Times New Roman" w:hAnsi="Times New Roman" w:cs="Times New Roman"/>
          <w:b/>
          <w:sz w:val="20"/>
          <w:szCs w:val="20"/>
        </w:rPr>
        <w:t xml:space="preserve">tabel 5.4 </w:t>
      </w:r>
    </w:p>
    <w:p w:rsidR="00864E26" w:rsidRPr="006F4ECB" w:rsidRDefault="00864E26" w:rsidP="006F4ECB">
      <w:pPr>
        <w:spacing w:after="0" w:line="240" w:lineRule="auto"/>
        <w:jc w:val="both"/>
        <w:rPr>
          <w:rFonts w:ascii="Times New Roman" w:hAnsi="Times New Roman" w:cs="Times New Roman"/>
          <w:b/>
          <w:sz w:val="20"/>
          <w:szCs w:val="20"/>
        </w:rPr>
      </w:pPr>
    </w:p>
    <w:p w:rsidR="008A6268" w:rsidRPr="006F4ECB" w:rsidRDefault="00864E26"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Tabel 5.4</w:t>
      </w:r>
      <w:r w:rsidR="008A6268" w:rsidRPr="006F4ECB">
        <w:rPr>
          <w:rFonts w:ascii="Times New Roman" w:hAnsi="Times New Roman" w:cs="Times New Roman"/>
          <w:b/>
          <w:sz w:val="20"/>
          <w:szCs w:val="20"/>
        </w:rPr>
        <w:t>Tabel Hubungan Antara Kadar IL-1</w:t>
      </w:r>
      <w:r w:rsidRPr="006F4ECB">
        <w:rPr>
          <w:rFonts w:ascii="Times New Roman" w:hAnsi="Times New Roman" w:cs="Times New Roman"/>
          <w:b/>
          <w:sz w:val="20"/>
          <w:szCs w:val="20"/>
        </w:rPr>
        <w:t>β</w:t>
      </w:r>
      <w:r w:rsidR="008A6268" w:rsidRPr="006F4ECB">
        <w:rPr>
          <w:rFonts w:ascii="Times New Roman" w:hAnsi="Times New Roman" w:cs="Times New Roman"/>
          <w:b/>
          <w:sz w:val="20"/>
          <w:szCs w:val="20"/>
        </w:rPr>
        <w:t xml:space="preserve"> Degan Jumlah Leukosit</w:t>
      </w:r>
    </w:p>
    <w:p w:rsidR="006F4ECB" w:rsidRDefault="006F4ECB" w:rsidP="006F4ECB">
      <w:pPr>
        <w:spacing w:after="0" w:line="240" w:lineRule="auto"/>
        <w:jc w:val="both"/>
        <w:rPr>
          <w:rFonts w:ascii="Times New Roman" w:hAnsi="Times New Roman" w:cs="Times New Roman"/>
          <w:b/>
          <w:sz w:val="20"/>
          <w:szCs w:val="20"/>
        </w:rPr>
      </w:pPr>
    </w:p>
    <w:tbl>
      <w:tblPr>
        <w:tblStyle w:val="PlainTable21"/>
        <w:tblW w:w="0" w:type="auto"/>
        <w:tblLook w:val="04A0" w:firstRow="1" w:lastRow="0" w:firstColumn="1" w:lastColumn="0" w:noHBand="0" w:noVBand="1"/>
      </w:tblPr>
      <w:tblGrid>
        <w:gridCol w:w="1299"/>
        <w:gridCol w:w="1436"/>
        <w:gridCol w:w="1414"/>
      </w:tblGrid>
      <w:tr w:rsidR="00A42B92" w:rsidTr="00A42B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tcPr>
          <w:p w:rsidR="00A42B92" w:rsidRDefault="00A42B92" w:rsidP="006F4ECB">
            <w:pPr>
              <w:jc w:val="both"/>
              <w:rPr>
                <w:rFonts w:ascii="Times New Roman" w:hAnsi="Times New Roman" w:cs="Times New Roman"/>
                <w:b w:val="0"/>
                <w:sz w:val="20"/>
                <w:szCs w:val="20"/>
              </w:rPr>
            </w:pPr>
          </w:p>
        </w:tc>
        <w:tc>
          <w:tcPr>
            <w:tcW w:w="1436" w:type="dxa"/>
          </w:tcPr>
          <w:p w:rsidR="00A42B92" w:rsidRDefault="00A42B92"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
        </w:tc>
        <w:tc>
          <w:tcPr>
            <w:tcW w:w="1414" w:type="dxa"/>
          </w:tcPr>
          <w:p w:rsidR="00A42B92" w:rsidRPr="00A42B92" w:rsidRDefault="00A42B92" w:rsidP="006F4EC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id-ID"/>
              </w:rPr>
            </w:pPr>
            <w:r>
              <w:rPr>
                <w:rFonts w:ascii="Times New Roman" w:hAnsi="Times New Roman" w:cs="Times New Roman"/>
                <w:b w:val="0"/>
                <w:sz w:val="20"/>
                <w:szCs w:val="20"/>
                <w:lang w:val="id-ID"/>
              </w:rPr>
              <w:t>IL-1</w:t>
            </w:r>
          </w:p>
        </w:tc>
      </w:tr>
      <w:tr w:rsidR="00A42B92" w:rsidTr="00A42B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vMerge w:val="restart"/>
          </w:tcPr>
          <w:p w:rsidR="00A42B92" w:rsidRDefault="00A42B92" w:rsidP="006F4ECB">
            <w:pPr>
              <w:jc w:val="both"/>
              <w:rPr>
                <w:rFonts w:ascii="Times New Roman" w:hAnsi="Times New Roman" w:cs="Times New Roman"/>
                <w:b w:val="0"/>
                <w:sz w:val="20"/>
                <w:szCs w:val="20"/>
              </w:rPr>
            </w:pPr>
            <w:r>
              <w:rPr>
                <w:rFonts w:ascii="Times New Roman" w:hAnsi="Times New Roman" w:cs="Times New Roman"/>
                <w:b w:val="0"/>
                <w:sz w:val="20"/>
                <w:szCs w:val="20"/>
                <w:lang w:val="id-ID"/>
              </w:rPr>
              <w:t>Leu</w:t>
            </w:r>
          </w:p>
        </w:tc>
        <w:tc>
          <w:tcPr>
            <w:tcW w:w="1436" w:type="dxa"/>
          </w:tcPr>
          <w:p w:rsidR="00A42B92" w:rsidRPr="00A42B92" w:rsidRDefault="00A42B92"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Correlation</w:t>
            </w:r>
          </w:p>
        </w:tc>
        <w:tc>
          <w:tcPr>
            <w:tcW w:w="1414" w:type="dxa"/>
          </w:tcPr>
          <w:p w:rsidR="00A42B92" w:rsidRPr="00A42B92" w:rsidRDefault="00A42B92"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.875***</w:t>
            </w:r>
          </w:p>
        </w:tc>
      </w:tr>
      <w:tr w:rsidR="00A42B92" w:rsidTr="00A42B92">
        <w:tc>
          <w:tcPr>
            <w:cnfStyle w:val="001000000000" w:firstRow="0" w:lastRow="0" w:firstColumn="1" w:lastColumn="0" w:oddVBand="0" w:evenVBand="0" w:oddHBand="0" w:evenHBand="0" w:firstRowFirstColumn="0" w:firstRowLastColumn="0" w:lastRowFirstColumn="0" w:lastRowLastColumn="0"/>
            <w:tcW w:w="1299" w:type="dxa"/>
            <w:vMerge/>
          </w:tcPr>
          <w:p w:rsidR="00A42B92" w:rsidRDefault="00A42B92" w:rsidP="006F4ECB">
            <w:pPr>
              <w:jc w:val="both"/>
              <w:rPr>
                <w:rFonts w:ascii="Times New Roman" w:hAnsi="Times New Roman" w:cs="Times New Roman"/>
                <w:b w:val="0"/>
                <w:sz w:val="20"/>
                <w:szCs w:val="20"/>
              </w:rPr>
            </w:pPr>
          </w:p>
        </w:tc>
        <w:tc>
          <w:tcPr>
            <w:tcW w:w="1436" w:type="dxa"/>
          </w:tcPr>
          <w:p w:rsidR="00A42B92" w:rsidRPr="00A42B92" w:rsidRDefault="00A42B92"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sig</w:t>
            </w:r>
          </w:p>
        </w:tc>
        <w:tc>
          <w:tcPr>
            <w:tcW w:w="1414" w:type="dxa"/>
          </w:tcPr>
          <w:p w:rsidR="00A42B92" w:rsidRPr="00A42B92" w:rsidRDefault="00A42B92" w:rsidP="006F4E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.000</w:t>
            </w:r>
          </w:p>
        </w:tc>
      </w:tr>
      <w:tr w:rsidR="00A42B92" w:rsidTr="00A42B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dxa"/>
            <w:vMerge/>
          </w:tcPr>
          <w:p w:rsidR="00A42B92" w:rsidRDefault="00A42B92" w:rsidP="006F4ECB">
            <w:pPr>
              <w:jc w:val="both"/>
              <w:rPr>
                <w:rFonts w:ascii="Times New Roman" w:hAnsi="Times New Roman" w:cs="Times New Roman"/>
                <w:b w:val="0"/>
                <w:sz w:val="20"/>
                <w:szCs w:val="20"/>
              </w:rPr>
            </w:pPr>
          </w:p>
        </w:tc>
        <w:tc>
          <w:tcPr>
            <w:tcW w:w="1436" w:type="dxa"/>
          </w:tcPr>
          <w:p w:rsidR="00A42B92" w:rsidRPr="00A42B92" w:rsidRDefault="00A42B92"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N</w:t>
            </w:r>
          </w:p>
        </w:tc>
        <w:tc>
          <w:tcPr>
            <w:tcW w:w="1414" w:type="dxa"/>
          </w:tcPr>
          <w:p w:rsidR="00A42B92" w:rsidRPr="00A42B92" w:rsidRDefault="00A42B92" w:rsidP="006F4EC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20</w:t>
            </w:r>
          </w:p>
        </w:tc>
      </w:tr>
    </w:tbl>
    <w:p w:rsidR="00A42B92" w:rsidRPr="006F4ECB" w:rsidRDefault="00A42B92" w:rsidP="006F4ECB">
      <w:pPr>
        <w:spacing w:after="0" w:line="240" w:lineRule="auto"/>
        <w:jc w:val="both"/>
        <w:rPr>
          <w:rFonts w:ascii="Times New Roman" w:hAnsi="Times New Roman" w:cs="Times New Roman"/>
          <w:b/>
          <w:sz w:val="20"/>
          <w:szCs w:val="20"/>
        </w:rPr>
      </w:pPr>
    </w:p>
    <w:p w:rsidR="008A6268" w:rsidRPr="006F4ECB" w:rsidRDefault="008A6268" w:rsidP="006F4ECB">
      <w:pPr>
        <w:spacing w:after="0" w:line="240" w:lineRule="auto"/>
        <w:jc w:val="both"/>
        <w:rPr>
          <w:rFonts w:ascii="Times New Roman" w:hAnsi="Times New Roman" w:cs="Times New Roman"/>
          <w:sz w:val="20"/>
          <w:szCs w:val="20"/>
        </w:rPr>
      </w:pPr>
    </w:p>
    <w:p w:rsidR="005531DB" w:rsidRPr="006F4ECB" w:rsidRDefault="00864E26"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w:t>
      </w:r>
      <w:r w:rsidR="008A6268" w:rsidRPr="006F4ECB">
        <w:rPr>
          <w:rFonts w:ascii="Times New Roman" w:hAnsi="Times New Roman" w:cs="Times New Roman"/>
          <w:sz w:val="20"/>
          <w:szCs w:val="20"/>
        </w:rPr>
        <w:t xml:space="preserve">Hasil </w:t>
      </w:r>
      <w:r w:rsidRPr="006F4ECB">
        <w:rPr>
          <w:rFonts w:ascii="Times New Roman" w:hAnsi="Times New Roman" w:cs="Times New Roman"/>
          <w:sz w:val="20"/>
          <w:szCs w:val="20"/>
        </w:rPr>
        <w:t xml:space="preserve">uji korelasi </w:t>
      </w:r>
      <w:r w:rsidR="008A6268" w:rsidRPr="006F4ECB">
        <w:rPr>
          <w:rFonts w:ascii="Times New Roman" w:hAnsi="Times New Roman" w:cs="Times New Roman"/>
          <w:sz w:val="20"/>
          <w:szCs w:val="20"/>
        </w:rPr>
        <w:t xml:space="preserve">menunjukkan </w:t>
      </w:r>
      <w:r w:rsidR="005531DB" w:rsidRPr="006F4ECB">
        <w:rPr>
          <w:rFonts w:ascii="Times New Roman" w:hAnsi="Times New Roman" w:cs="Times New Roman"/>
          <w:sz w:val="20"/>
          <w:szCs w:val="20"/>
        </w:rPr>
        <w:t>korelasi positif yang signifikan (p&lt;0,05). Hal ini menunjukkan jika apabila terjadi peningkatan kadar IL-1β</w:t>
      </w:r>
      <w:r w:rsidR="005531DB" w:rsidRPr="006F4ECB">
        <w:rPr>
          <w:rFonts w:ascii="Times New Roman" w:hAnsi="Times New Roman" w:cs="Times New Roman"/>
          <w:noProof/>
          <w:color w:val="000000"/>
          <w:sz w:val="20"/>
          <w:szCs w:val="20"/>
          <w:lang w:eastAsia="id-ID"/>
        </w:rPr>
        <w:t xml:space="preserve"> maka akan diikuti oleh peningkatan jumlah leukosit dan jika terjadi penurunan kadar </w:t>
      </w:r>
      <w:r w:rsidR="005531DB" w:rsidRPr="006F4ECB">
        <w:rPr>
          <w:rFonts w:ascii="Times New Roman" w:hAnsi="Times New Roman" w:cs="Times New Roman"/>
          <w:sz w:val="20"/>
          <w:szCs w:val="20"/>
        </w:rPr>
        <w:t>IL-1β maka akan diikuti oleh penurunan jumlah leukosit.</w:t>
      </w:r>
    </w:p>
    <w:p w:rsidR="005531DB" w:rsidRPr="006F4ECB" w:rsidRDefault="005531DB" w:rsidP="006F4ECB">
      <w:pPr>
        <w:spacing w:after="0" w:line="240" w:lineRule="auto"/>
        <w:jc w:val="both"/>
        <w:rPr>
          <w:rFonts w:ascii="Times New Roman" w:hAnsi="Times New Roman" w:cs="Times New Roman"/>
          <w:sz w:val="20"/>
          <w:szCs w:val="20"/>
        </w:rPr>
      </w:pPr>
    </w:p>
    <w:p w:rsidR="005531DB" w:rsidRPr="00980B93" w:rsidRDefault="005531DB" w:rsidP="006F4ECB">
      <w:pPr>
        <w:spacing w:after="0" w:line="240" w:lineRule="auto"/>
        <w:jc w:val="both"/>
        <w:rPr>
          <w:rFonts w:ascii="Times New Roman" w:hAnsi="Times New Roman" w:cs="Times New Roman"/>
          <w:b/>
          <w:sz w:val="28"/>
          <w:szCs w:val="28"/>
        </w:rPr>
      </w:pPr>
      <w:r w:rsidRPr="00980B93">
        <w:rPr>
          <w:rFonts w:ascii="Times New Roman" w:hAnsi="Times New Roman" w:cs="Times New Roman"/>
          <w:b/>
          <w:sz w:val="28"/>
          <w:szCs w:val="28"/>
        </w:rPr>
        <w:t>PEMBAHASAN</w:t>
      </w:r>
    </w:p>
    <w:p w:rsidR="005531DB" w:rsidRPr="006F4ECB" w:rsidRDefault="005531DB" w:rsidP="006F4ECB">
      <w:pPr>
        <w:spacing w:after="0" w:line="240" w:lineRule="auto"/>
        <w:jc w:val="both"/>
        <w:rPr>
          <w:rFonts w:ascii="Times New Roman" w:hAnsi="Times New Roman" w:cs="Times New Roman"/>
          <w:b/>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Karakteristik </w:t>
      </w:r>
      <w:r w:rsidR="00266690" w:rsidRPr="006F4ECB">
        <w:rPr>
          <w:rFonts w:ascii="Times New Roman" w:hAnsi="Times New Roman" w:cs="Times New Roman"/>
          <w:b/>
          <w:sz w:val="20"/>
          <w:szCs w:val="20"/>
        </w:rPr>
        <w:t>Sampel</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Pada penelitian dipilih tikus sebagai hewan coba karena baik pembuatan model OA primer maupun sekunder dapat menggunakan tikus</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{"citationItems":[{"id":"ITEM-1","itemData":{"author":[{"dropping-particle":"","family":"Bendele","given":"A M","non-dropping-particle":"","parse-names":false,"suffix":""}],"container-title":"Journal Musculoskel Neuron Interact","id":"ITEM-1","issue":"4","issued":{"date-parts":[["2001"]]},"page":"363-376","title":"Animal models of osteoarthritis","type":"article-journal","volume":"1"},"uris":["http://www.mendeley.com/documents/?uuid=a3947cd2-f58a-42bd-9e24-4db3a59057cf"]}],"mendeley":{"formattedCitation":"(25)","plainTextFormattedCitation":"(25)","previouslyFormattedCitation":"(25)"},"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(25)</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Galur wistar dipilih karena rentan mengalami arthritis yang diinduksi oleh </w:t>
      </w:r>
      <w:r w:rsidRPr="006F4ECB">
        <w:rPr>
          <w:rFonts w:ascii="Times New Roman" w:hAnsi="Times New Roman" w:cs="Times New Roman"/>
          <w:i/>
          <w:sz w:val="20"/>
          <w:szCs w:val="20"/>
        </w:rPr>
        <w:t xml:space="preserve">Adjuvant Induced Arthritis </w:t>
      </w:r>
      <w:r w:rsidRPr="006F4ECB">
        <w:rPr>
          <w:rFonts w:ascii="Times New Roman" w:hAnsi="Times New Roman" w:cs="Times New Roman"/>
          <w:sz w:val="20"/>
          <w:szCs w:val="20"/>
        </w:rPr>
        <w:t xml:space="preserve">(AIA) </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{"citationItems":[{"id":"ITEM-1","itemData":{"DOI":"10.1186/ar2755","author":[{"dropping-particle":"","family":"Kim","given":"Eugene Y","non-dropping-particle":"","parse-names":false,"suffix":""},{"dropping-particle":"","family":"Moudgil","given":"Kamal D","non-dropping-particle":"","parse-names":false,"suffix":""}],"id":"ITEM-1","issued":{"date-parts":[["2009"]]},"title":"The determinants of susceptibility / resistance to adjuvant arthritis in rats","type":"article-journal","volume":"9"},"uris":["http://www.mendeley.com/documents/?uuid=1b32bee6-80c5-4ee4-92fb-1ff2c65091cd"]}],"mendeley":{"formattedCitation":"(26)","plainTextFormattedCitation":"(26)","previouslyFormattedCitation":"(26)"},"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(26)</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Tikus jantan dipilih dalam penelitian ini agar tidak terdapat pengaruh hormon esterogen </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author":[{"dropping-particle":"","family":"Andari","given":"Kiki","non-dropping-particle":"","parse-names":false,"suffix":""},{"dropping-particle":"","family":"Normasari","given":"Rena","non-dropping-particle":"","parse-names":false,"suffix":""},{"dropping-particle":"","family":"Hasan","given":"Muhammad","non-dropping-particle":"","parse-names":false,"suffix":""}],"container-title":"e-Jurnal Pustaka Kesehatan","id":"ITEM-1","issue":"1","issued":{"date-parts":[["2017"]]},"page":"1-5","title":"Pengaruh Minyak Ikan Lemuru ( Sardinella longiceps ) terhadap Ekspresi Tumor Necrosis Factor ( TNF- α ) Kartilago yang diinduksi Complete Freund ' s Adjuvant","type":"article-journal","volume":"5"},"uris":["http://www.mendeley.com/documents/?uuid=dd4b423e-8968-4970-9230-c7ab56ddd3fc"]}],"mendeley":{"formattedCitation":"(27)","plainTextFormattedCitation":"(27)","previouslyFormattedCitation":"(27)"},"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(27)</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Hal ini karena apabila kadarnya turun maka dapat mempengaruhi menyebabkan beberapa hal seperti diferensiasi dan maturasi osteoklas yang terganggu, peningkatan hormon paratiroid sehingga terjadi  peningkatan resorbsi tulang, dan peningkatan radikal bebas  </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{"citationItems":[{"id":"ITEM-1","itemData":{"DOI":"10.1042/CS20160485","author":[{"dropping-particle":"","family":"Clapier","given":"Renee Ventura","non-dropping-particle":"","parse-names":false,"suffix":""},{"dropping-particle":"","family":"Piquereau","given":"Jerome","non-dropping-particle":"","parse-names":false,"suffix":""}],"id":"ITEM-1","issue":"April 2018","issued":{"date-parts":[["2017"]]},"title":"Mitochondria : a central target for sex differences in pathologies","type":"article-journal"},"uris":["http://www.mendeley.com/documents/?uuid=2e69d2a0-d67d-4625-903a-a7994a942be0"]}],"mendeley":{"formattedCitation":"(28)","plainTextFormattedCitation":"(28)","previouslyFormattedCitation":"(28)"},"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(28)</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Usia tikus 4 bulan berdasarkan hasil konfersi umur manusia sekitar 40 tahun ke tikus. Umur manusia 40 tahun dipilih karena merupakan salah satu faktor resiko terjadinya OA </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{"citationItems":[{"id":"ITEM-1","itemData":{"abstract":"ABSTRAK Terjadinya proses penuaan akan meningkatkan jumlah angka kesakitan akibat penyakit degeneratif dan disabilitas yang ditimbulkan. Di Poliklinik Reumatologi RSUP Sanglah Denpasar periode 2001-2002, OA merupakan kasus tertinggi (37%) dengan proporsi Osteoartritis (OA) lutut 97%. Di Puskesmas Susut I, Kecamatan Susut, Kabupaten Bangli, OA yang tergolong ke dalam kelompok penyakit rematik menempati urutan kedua di daftar penyakit Puskesmas Susut I tahun 2013. Metode rancangan dalam penelitian ini adalah cross sectional deskriptif. Sampel penelitian merupakan penduduk usia 50 tahun ke atas dengan besar sampel yang digunakan adalah 78 orang dengan teknik multistage random sampling di Banjar Susut Kaja, Desa Susut, Kecamatan Susut, Kabupaten Bangli pada bulan April 2014. Hasil dan simpulan penelitian ini adalah prevalensi OA lutut pada usia &gt; 50 tahun di Desa Susut bulan April 2014 adalah sebesar 62.8%. Berdasarkan karakteristik sosio-demografi, kejadian OA lutut lebih banyak dialami oleh kelompok usia 50-70 tahun (61.2%), berjenis kelamin perempuan (57.1%), dan memiliki pekerjaan fisik (petani, peternak, buruh dan ABRI) (65.3%). Sedangkan berdasarkan faktor risiko, kejadian OA lutut lebih banyak terjadi pada responden dengan IMT kurus-normal (59.2%), riwayat beban kerja sedang-berat (71.4%) dengan faktor biomekanika antara lain responden dengan riwayat membawa beban saat bekerja (71.4%) dimana perkiraan berat beban &lt; 25 kg (79.6%), frekuensi bekerja dengan beban sebanyak ≥ 4 kali/minggu (53.1%) dan memiliki durasi kerja ≥ 17 tahun (91.8%), serta menempuh jalan naik, turun, bertangga saat bekerja (77.6%). Kejadian OA lutut lebih banyak terjadi pada responden tanpa riwayat cedera lutut (87.8%). Kata Kunci : Prevalensi, faktor risiko, osteoartritis lutut, usia lanjut PREVALENCE AND DISTRIBUTION OF KNEE OSTEOARTHRITIS ACCORDING TO SOCIO-DEMOGRAPHY CHARACTERISTIC AND RISK FACTOR IN SUSUT I PRIMARY HEALTH CARE TERRITORY, SUSUT, BANGLI IN 2014 ABSTRACT An aging process will increase human morbidity caused by degenerative diseases and disability. Based on data in Policlinic of Rheumatology Sanglah Hospital in 2001-2002, Osteoarthritis was the highest case (37%) with proportion of Knee Osteoarthritis was 97%. In Susut I Primary Health Care, which is located in Bangli, Rheumatic placed the second rank from the list of top 10 diseases in 2013. This research used cross sectional descriptive method. Sample were elderly who are more than 50 years old and total of sa…","author":[{"dropping-particle":"","family":"Hasiibi","given":"Wan Amin","non-dropping-particle":"","parse-names":false,"suffix":""}],"container-title":"Prevalence and Distribution of Knee Osteoarthritis According To Socio-Demography Characteristic and Risk Factor","id":"ITEM-1","issue":"April","issued":{"date-parts":[["2014"]]},"page":"1-10","title":"Prevalensi Dan Distribusi Osteoartritis Lutut Berdasarkan Karakteristik Sosio-Demografi Dan Faktor Risiko Di Wilayah Kerja Puskesmas Susut I, Kecamatan Susut, Kabupaten Bangli Pada Tahun 2014","type":"article-journal"},"uris":["http://www.mendeley.com/documents/?uuid=c6c47be1-57fd-4512-aed8-52ab6aaee243"]}],"mendeley":{"formattedCitation":"(29)","plainTextFormattedCitation":"(29)","previouslyFormattedCitation":"(29)"},"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(29)</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Pemilihan berat badan dipilih untuk memudahkan fiksasi sendi lutut agar mudah saat injeksi CFA.</w:t>
      </w:r>
    </w:p>
    <w:p w:rsidR="005531D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Penentuan OA dilakukan dengan mengukur edema pada lutut kanan menggunakan </w:t>
      </w:r>
      <w:r w:rsidRPr="006F4ECB">
        <w:rPr>
          <w:rFonts w:ascii="Times New Roman" w:hAnsi="Times New Roman" w:cs="Times New Roman"/>
          <w:i/>
          <w:sz w:val="20"/>
          <w:szCs w:val="20"/>
        </w:rPr>
        <w:t>micrometer screw</w:t>
      </w:r>
      <w:r w:rsidR="003D2BB4" w:rsidRPr="006F4ECB">
        <w:rPr>
          <w:rFonts w:ascii="Times New Roman" w:hAnsi="Times New Roman" w:cs="Times New Roman"/>
          <w:i/>
          <w:sz w:val="20"/>
          <w:szCs w:val="20"/>
        </w:rPr>
        <w:fldChar w:fldCharType="begin" w:fldLock="1"/>
      </w:r>
      <w:r w:rsidR="003D2BB4" w:rsidRPr="006F4ECB">
        <w:rPr>
          <w:rFonts w:ascii="Times New Roman" w:hAnsi="Times New Roman" w:cs="Times New Roman"/>
          <w:i/>
          <w:sz w:val="20"/>
          <w:szCs w:val="20"/>
        </w:rPr>
        <w:instrText>ADDIN CSL_CITATION {"citationItems":[{"id":"ITEM-1","itemData":{"author":[{"dropping-particle":"","family":"Sciences","given":"Plant","non-dropping-particle":"","parse-names":false,"suffix":""},{"dropping-particle":"","family":"Khan","given":"H M","non-dropping-particle":"","parse-names":false,"suffix":""},{"dropping-particle":"","family":"Ashraf","given":"M","non-dropping-particle":"","parse-names":false,"suffix":""},{"dropping-particle":"","family":"Hashmi","given":"A S","non-dropping-particle":"","parse-names":false,"suffix":""},{"dropping-particle":"","family":"Ahmad","given":"M U D","non-dropping-particle":"","parse-names":false,"suffix":""},{"dropping-particle":"","family":"Anjum","given":"A A","non-dropping-particle":"","parse-names":false,"suffix":""},{"dropping-particle":"","family":"Road","given":"Jail","non-dropping-particle":"","parse-names":false,"suffix":""},{"dropping-particle":"","family":"Sciences","given":"Animal","non-dropping-particle":"","parse-names":false,"suffix":""}],"container-title":"the journal of animal and plant sciences","id":"ITEM-1","issue":"4","issued":{"date-parts":[["2012"]]},"page":"960-965","title":"CLINICAL ASSESSMENT OF EXPERIMENTALLY INDUCED OSTEOARTHRITIS RAT MODEL IN RELATION TO TIME","type":"article-journal","volume":"22"},"uris":["http://www.mendeley.com/documents/?uuid=f7d3b82e-840b-432e-85d5-4eb647902567"]}],"mendeley":{"formattedCitation":"(20)","plainTextFormattedCitation":"(20)","previouslyFormattedCitation":"(20)"},"properties":{"noteIndex":0},"schema":"https://github.com/citation-style-language/schema/raw/master/csl-citation.json"}</w:instrText>
      </w:r>
      <w:r w:rsidR="003D2BB4" w:rsidRPr="006F4ECB">
        <w:rPr>
          <w:rFonts w:ascii="Times New Roman" w:hAnsi="Times New Roman" w:cs="Times New Roman"/>
          <w:i/>
          <w:sz w:val="20"/>
          <w:szCs w:val="20"/>
        </w:rPr>
        <w:fldChar w:fldCharType="separate"/>
      </w:r>
      <w:r w:rsidR="003D2BB4" w:rsidRPr="006F4ECB">
        <w:rPr>
          <w:rFonts w:ascii="Times New Roman" w:hAnsi="Times New Roman" w:cs="Times New Roman"/>
          <w:noProof/>
          <w:sz w:val="20"/>
          <w:szCs w:val="20"/>
        </w:rPr>
        <w:t>(20)</w:t>
      </w:r>
      <w:r w:rsidR="003D2BB4" w:rsidRPr="006F4ECB">
        <w:rPr>
          <w:rFonts w:ascii="Times New Roman" w:hAnsi="Times New Roman" w:cs="Times New Roman"/>
          <w:i/>
          <w:sz w:val="20"/>
          <w:szCs w:val="20"/>
        </w:rPr>
        <w:fldChar w:fldCharType="end"/>
      </w:r>
      <w:r w:rsidRPr="006F4ECB">
        <w:rPr>
          <w:rFonts w:ascii="Times New Roman" w:hAnsi="Times New Roman" w:cs="Times New Roman"/>
          <w:sz w:val="20"/>
          <w:szCs w:val="20"/>
        </w:rPr>
        <w:t>. Pengukuran dilakukan sebelum injeksi CFA, hari ke 5 setelah injeksi CFA, hari ke 10 injeksi CFA. Hal ini dilakukan karena efek dari CFA muncul pada hari ke 7 setelah injeksi namun akan sulit dibedakan dengan normal pada hari ke 21 setelah injeksi</w:t>
      </w:r>
      <w:r w:rsidR="003D2BB4" w:rsidRPr="006F4ECB">
        <w:rPr>
          <w:rFonts w:ascii="Times New Roman" w:hAnsi="Times New Roman" w:cs="Times New Roman"/>
          <w:sz w:val="20"/>
          <w:szCs w:val="20"/>
        </w:rPr>
        <w:t xml:space="preserve"> </w:t>
      </w:r>
      <w:r w:rsidR="003D2BB4"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{"citationItems":[{"id":"ITEM-1","itemData":{"ISBN":"9786026056931","author":[{"dropping-particle":"","family":"Robin","given":"Dwi Merry Chisrmarini","non-dropping-particle":"","parse-names":false,"suffix":""}],"id":"ITEM-1","issued":{"date-parts":[["2016"]]},"page":"190-193","title":"ESTABLISHMENT OF A RAT MODEL OF TEMPOROMANDIBULAR JOINT OSTEOARTHRITIS USING INTRAARTICULAR INJECTION OF COMPLETE FRE UND ’ S ADJUVANT","type":"article-journal"},"uris":["http://www.mendeley.com/documents/?uuid=3890b710-9874-40df-8c79-33bd7d2997dc"]}],"mendeley":{"formattedCitation":"(19)","plainTextFormattedCitation":"(19)","previouslyFormattedCitation":"(19)"},"properties":{"noteIndex":0},"schema":"https://github.com/citation-style-language/schema/raw/master/csl-citation.json"}</w:instrText>
      </w:r>
      <w:r w:rsidR="003D2BB4"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(19)</w:t>
      </w:r>
      <w:r w:rsidR="003D2BB4"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w:t>
      </w:r>
      <w:r w:rsidR="0010064E" w:rsidRPr="006F4ECB">
        <w:rPr>
          <w:rFonts w:ascii="Times New Roman" w:hAnsi="Times New Roman" w:cs="Times New Roman"/>
          <w:sz w:val="20"/>
          <w:szCs w:val="20"/>
        </w:rPr>
        <w:t xml:space="preserve">Pengukuran edema hari ke 10 menunjukkan data yang tidak terdistribusi normal, hal ini menunjukkan bahwa pada hari ke 10 masih terjadi inflamasi untuk itu mulai dilakukan pemberian herbal. </w:t>
      </w:r>
      <w:r w:rsidRPr="006F4ECB">
        <w:rPr>
          <w:rFonts w:ascii="Times New Roman" w:hAnsi="Times New Roman" w:cs="Times New Roman"/>
          <w:sz w:val="20"/>
          <w:szCs w:val="20"/>
        </w:rPr>
        <w:t xml:space="preserve">Pengukuran edema terakhir dilakukan setelah 10 hari pemberian kombinasi dekokta </w:t>
      </w:r>
      <w:r w:rsidR="008832B7" w:rsidRPr="006F4ECB">
        <w:rPr>
          <w:rFonts w:ascii="Times New Roman" w:hAnsi="Times New Roman" w:cs="Times New Roman"/>
          <w:sz w:val="20"/>
          <w:szCs w:val="20"/>
        </w:rPr>
        <w:t>RJMA.</w:t>
      </w:r>
      <w:r w:rsidRPr="006F4ECB">
        <w:rPr>
          <w:rFonts w:ascii="Times New Roman" w:hAnsi="Times New Roman" w:cs="Times New Roman"/>
          <w:sz w:val="20"/>
          <w:szCs w:val="20"/>
        </w:rPr>
        <w:t xml:space="preserve"> </w:t>
      </w:r>
      <w:r w:rsidR="00F26711">
        <w:rPr>
          <w:rFonts w:ascii="Times New Roman" w:hAnsi="Times New Roman" w:cs="Times New Roman"/>
          <w:sz w:val="20"/>
          <w:szCs w:val="20"/>
        </w:rPr>
        <w:t>Hal ini didukung dengan hasil</w:t>
      </w:r>
      <w:r w:rsidR="00F26711" w:rsidRPr="006F4ECB">
        <w:rPr>
          <w:rFonts w:ascii="Times New Roman" w:hAnsi="Times New Roman" w:cs="Times New Roman"/>
          <w:sz w:val="20"/>
          <w:szCs w:val="20"/>
        </w:rPr>
        <w:t xml:space="preserve"> foto </w:t>
      </w:r>
      <w:r w:rsidR="00F26711" w:rsidRPr="006F4ECB">
        <w:rPr>
          <w:rFonts w:ascii="Times New Roman" w:hAnsi="Times New Roman" w:cs="Times New Roman"/>
          <w:i/>
          <w:sz w:val="20"/>
          <w:szCs w:val="20"/>
        </w:rPr>
        <w:t>x-ray</w:t>
      </w:r>
      <w:r w:rsidR="00F26711" w:rsidRPr="006F4ECB">
        <w:rPr>
          <w:rFonts w:ascii="Times New Roman" w:hAnsi="Times New Roman" w:cs="Times New Roman"/>
          <w:sz w:val="20"/>
          <w:szCs w:val="20"/>
        </w:rPr>
        <w:t xml:space="preserve">. Foto </w:t>
      </w:r>
      <w:r w:rsidR="00F26711" w:rsidRPr="006F4ECB">
        <w:rPr>
          <w:rFonts w:ascii="Times New Roman" w:hAnsi="Times New Roman" w:cs="Times New Roman"/>
          <w:i/>
          <w:sz w:val="20"/>
          <w:szCs w:val="20"/>
        </w:rPr>
        <w:t>x-ray</w:t>
      </w:r>
      <w:r w:rsidR="00F26711" w:rsidRPr="006F4ECB">
        <w:rPr>
          <w:rFonts w:ascii="Times New Roman" w:hAnsi="Times New Roman" w:cs="Times New Roman"/>
          <w:sz w:val="20"/>
          <w:szCs w:val="20"/>
        </w:rPr>
        <w:t xml:space="preserve"> dilakukan pada kelompok positif dan negatif.</w:t>
      </w:r>
      <w:r w:rsidR="00B51DD9" w:rsidRPr="00B51DD9">
        <w:rPr>
          <w:rFonts w:ascii="Times New Roman" w:hAnsi="Times New Roman" w:cs="Times New Roman"/>
          <w:sz w:val="20"/>
          <w:szCs w:val="20"/>
        </w:rPr>
        <w:t xml:space="preserve"> </w:t>
      </w:r>
      <w:r w:rsidR="00B51DD9" w:rsidRPr="006F4ECB">
        <w:rPr>
          <w:rFonts w:ascii="Times New Roman" w:hAnsi="Times New Roman" w:cs="Times New Roman"/>
          <w:sz w:val="20"/>
          <w:szCs w:val="20"/>
        </w:rPr>
        <w:t xml:space="preserve">Kellgren-Lawrence 1957 mengatakan bahwa, klasifikiasi OA berdasarkan hasil radiologi adalah 0: normal, 1:oteofit tampak kecil, 2: osteofit tampak dan celah sendi normal, 3: osteofit jelas dan terjadi penyempitan celah sendi, 4: terjadi sklerosis dan penyempitan celah sendi berat. Pada penelitian </w:t>
      </w:r>
      <w:r w:rsidR="00B51DD9" w:rsidRPr="006F4ECB">
        <w:rPr>
          <w:rFonts w:ascii="Times New Roman" w:hAnsi="Times New Roman" w:cs="Times New Roman"/>
          <w:sz w:val="20"/>
          <w:szCs w:val="20"/>
        </w:rPr>
        <w:lastRenderedPageBreak/>
        <w:t>ini, hasil foto x-ray menunjukkan osteofit ya</w:t>
      </w:r>
      <w:r w:rsidR="00B51DD9">
        <w:rPr>
          <w:rFonts w:ascii="Times New Roman" w:hAnsi="Times New Roman" w:cs="Times New Roman"/>
          <w:sz w:val="20"/>
          <w:szCs w:val="20"/>
        </w:rPr>
        <w:t>ng minimal sehingga sudah dapat</w:t>
      </w:r>
      <w:r w:rsidR="00F26711" w:rsidRPr="006F4ECB">
        <w:rPr>
          <w:rFonts w:ascii="Times New Roman" w:hAnsi="Times New Roman" w:cs="Times New Roman"/>
          <w:sz w:val="20"/>
          <w:szCs w:val="20"/>
        </w:rPr>
        <w:t xml:space="preserve">. Selain </w:t>
      </w:r>
      <w:r w:rsidR="00F26711" w:rsidRPr="006F4ECB">
        <w:rPr>
          <w:rFonts w:ascii="Times New Roman" w:hAnsi="Times New Roman" w:cs="Times New Roman"/>
          <w:sz w:val="20"/>
          <w:szCs w:val="20"/>
          <w:lang w:val="en-US"/>
        </w:rPr>
        <w:t xml:space="preserve"> </w:t>
      </w:r>
      <w:proofErr w:type="spellStart"/>
      <w:r w:rsidR="00F26711" w:rsidRPr="006F4ECB">
        <w:rPr>
          <w:rFonts w:ascii="Times New Roman" w:hAnsi="Times New Roman" w:cs="Times New Roman"/>
          <w:sz w:val="20"/>
          <w:szCs w:val="20"/>
          <w:lang w:val="en-US"/>
        </w:rPr>
        <w:t>pada</w:t>
      </w:r>
      <w:proofErr w:type="spellEnd"/>
      <w:r w:rsidR="00F26711" w:rsidRPr="006F4ECB">
        <w:rPr>
          <w:rFonts w:ascii="Times New Roman" w:hAnsi="Times New Roman" w:cs="Times New Roman"/>
          <w:sz w:val="20"/>
          <w:szCs w:val="20"/>
          <w:lang w:val="en-US"/>
        </w:rPr>
        <w:t xml:space="preserve"> </w:t>
      </w:r>
      <w:r w:rsidR="00F26711" w:rsidRPr="006F4ECB">
        <w:rPr>
          <w:rFonts w:ascii="Times New Roman" w:hAnsi="Times New Roman" w:cs="Times New Roman"/>
          <w:sz w:val="20"/>
          <w:szCs w:val="20"/>
        </w:rPr>
        <w:t xml:space="preserve">foto x-ray, efek pemberian CFA juga dapat dilihat dari histopatologi lutut kanan tikus menggunakan pewarnaan </w:t>
      </w:r>
      <w:r w:rsidR="00F26711" w:rsidRPr="006F4ECB">
        <w:rPr>
          <w:rFonts w:ascii="Times New Roman" w:hAnsi="Times New Roman" w:cs="Times New Roman"/>
          <w:i/>
          <w:sz w:val="20"/>
          <w:szCs w:val="20"/>
        </w:rPr>
        <w:t xml:space="preserve">hematoxyline eosin </w:t>
      </w:r>
      <w:r w:rsidR="00F26711" w:rsidRPr="006F4ECB">
        <w:rPr>
          <w:rFonts w:ascii="Times New Roman" w:hAnsi="Times New Roman" w:cs="Times New Roman"/>
          <w:sz w:val="20"/>
          <w:szCs w:val="20"/>
        </w:rPr>
        <w:t xml:space="preserve">(HE). Hasil histopatlogi pewarnaan HE menunnjukkan hasil yang positif OA pada kelompok positif dibandingkan kelompok negatif </w:t>
      </w:r>
      <w:r w:rsidR="00F26711" w:rsidRPr="006F4ECB">
        <w:rPr>
          <w:rFonts w:ascii="Times New Roman" w:hAnsi="Times New Roman" w:cs="Times New Roman"/>
          <w:sz w:val="20"/>
          <w:szCs w:val="20"/>
          <w:lang w:val="en-US"/>
        </w:rPr>
        <w:t>(</w:t>
      </w:r>
      <w:r w:rsidR="00F26711" w:rsidRPr="006F4ECB">
        <w:rPr>
          <w:rFonts w:ascii="Times New Roman" w:hAnsi="Times New Roman" w:cs="Times New Roman"/>
          <w:i/>
          <w:sz w:val="20"/>
          <w:szCs w:val="20"/>
          <w:lang w:val="en-US"/>
        </w:rPr>
        <w:t>unpublished data)</w:t>
      </w:r>
      <w:r w:rsidR="00B51DD9">
        <w:rPr>
          <w:rFonts w:ascii="Times New Roman" w:hAnsi="Times New Roman" w:cs="Times New Roman"/>
          <w:sz w:val="20"/>
          <w:szCs w:val="20"/>
        </w:rPr>
        <w:t>.</w:t>
      </w:r>
    </w:p>
    <w:p w:rsidR="00B51DD9" w:rsidRPr="00B51DD9" w:rsidRDefault="00B51DD9"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sz w:val="20"/>
          <w:szCs w:val="20"/>
        </w:rPr>
        <w:t xml:space="preserve">       </w:t>
      </w:r>
      <w:r w:rsidRPr="006F4ECB">
        <w:rPr>
          <w:rFonts w:ascii="Times New Roman" w:hAnsi="Times New Roman" w:cs="Times New Roman"/>
          <w:b/>
          <w:sz w:val="20"/>
          <w:szCs w:val="20"/>
        </w:rPr>
        <w:t xml:space="preserve">Efek Kombinasi Dekokta </w:t>
      </w:r>
      <w:r w:rsidR="008832B7" w:rsidRPr="006F4ECB">
        <w:rPr>
          <w:rFonts w:ascii="Times New Roman" w:hAnsi="Times New Roman" w:cs="Times New Roman"/>
          <w:b/>
          <w:sz w:val="20"/>
          <w:szCs w:val="20"/>
        </w:rPr>
        <w:t>RJMA</w:t>
      </w:r>
      <w:r w:rsidRPr="006F4ECB">
        <w:rPr>
          <w:rFonts w:ascii="Times New Roman" w:hAnsi="Times New Roman" w:cs="Times New Roman"/>
          <w:b/>
          <w:sz w:val="20"/>
          <w:szCs w:val="20"/>
        </w:rPr>
        <w:t xml:space="preserve"> Terhadap Kadar IL-1β Serum</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sz w:val="20"/>
          <w:szCs w:val="20"/>
        </w:rPr>
        <w:t xml:space="preserve">       </w:t>
      </w:r>
      <w:r w:rsidRPr="006F4ECB">
        <w:rPr>
          <w:rFonts w:ascii="Times New Roman" w:hAnsi="Times New Roman" w:cs="Times New Roman"/>
          <w:sz w:val="20"/>
          <w:szCs w:val="20"/>
        </w:rPr>
        <w:t xml:space="preserve">Tabel 5.2 menunjukkan rerata kadar IL-1β serum tikus pada setiap kelompok. Rerata kadar IL-1β pada kelompok positif mengalami peningkatan. Peningkatan kadar IL-1β serum tikus pada kelompok positif dapat disebabkan karena injeksi dari CFA </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author":[{"dropping-particle":"","family":"Billiau","given":"Alfons","non-dropping-particle":"","parse-names":false,"suffix":""},{"dropping-particle":"","family":"Matthys","given":"Patrick","non-dropping-particle":"","parse-names":false,"suffix":""}],"id":"ITEM-1","issue":"December","issued":{"date-parts":[["2001"]]},"page":"849-860","title":"Modes of action of Freund ’ s adjuvants in experimental models of autoimmune diseases","type":"article-journal","volume":"70"},"uris":["http://www.mendeley.com/documents/?uuid=bcf07528-80a8-4dd3-9bed-5feed11daca0"]}],"mendeley":{"formattedCitation":"(31)","plainTextFormattedCitation":"(31)","previouslyFormattedCitation":"(31)"},"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(31)</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Rerata kadar IL-1β pada kelompok perlakuan mengalami penurunan mendekati normal. Namun perbedaannya terlalu kecil. Hal ini dikarenakan  IL-1β dapat ditemukan sistemik dan lokal (pada jaringan kartilago dan sinovial) </w:t>
      </w:r>
      <w:r w:rsidR="00354820" w:rsidRPr="006F4ECB">
        <w:rPr>
          <w:rFonts w:ascii="Times New Roman" w:hAnsi="Times New Roman" w:cs="Times New Roman"/>
          <w:sz w:val="20"/>
          <w:szCs w:val="20"/>
        </w:rPr>
        <w:fldChar w:fldCharType="begin" w:fldLock="1"/>
      </w:r>
      <w:r w:rsidR="002B6552" w:rsidRPr="006F4ECB">
        <w:rPr>
          <w:rFonts w:ascii="Times New Roman" w:hAnsi="Times New Roman" w:cs="Times New Roman"/>
          <w:sz w:val="20"/>
          <w:szCs w:val="20"/>
        </w:rPr>
        <w:instrText>ADDIN CSL_CITATION {"citationItems":[{"id":"ITEM-1","itemData":{"DOI":"10.1002/art.39279","ISBN":"2326-5205","ISSN":"23265205","PMID":"26195278","abstract":"OBJECTIVE Inflammatory mediators, such as prostaglandin E2 (PGE2 ) and interleukin-1β (IL-1β), are produced by osteoarthritic (OA) joint tissue, where they may contribute to disease pathogenesis. We undertook the present study to examine whether inflammation, evidenced in plasma and peripheral blood leukocytes (PBLs), reflects the presence, progression, or specific symptoms of symptomatic knee OA. METHODS Patients with symptomatic knee OA were enrolled in a 24-month prospective study of radiographic progression. Standardized knee radiographs were obtained at baseline and 24 months. At baseline, levels of the plasma lipids PGE2 and 15-hydroxyeicosatetraenoic acid (15-HETE) were measured, and transcriptome analysis of PBLs was performed by microarray and quantitative polymerase chain reaction. RESULTS Baseline PGE2 synthase (PGES) levels determined by PBL microarray gene expression and plasma PGE2 levels distinguished patients with symptomatic knee OA from non-OA controls (area under the receiver operating characteristic curve [AUC] 0.87 and 0.89, respectively, P &lt; 0.0001). Baseline plasma 15-HETE levels were significantly elevated in patients with symptomatic knee OA versus non-OA controls (P &lt; 0.0195). In the 146 patients who completed the 24-month study, elevated baseline expression of IL-1β, tumor necrosis factor α, and cyclooxygenase 2 (COX-2) messenger RNA in PBLs predicted higher risk of radiographic progression as evidenced by joint space narrowing (JSN). In a multivariate model, AUC point estimates of models containing COX-2 in combination with demographic traits overlapped the confidence interval of the base model in 2 of the 3 JSN outcome measures (JSN &gt;0.0 mm, JSN &gt;0.2 mm, and JSN &gt;0.5 mm; AUC 0.62-0.67). CONCLUSION The inflammatory plasma lipid biomarkers PGE2 and 15-HETE identify patients with symptomatic knee OA, and the PBL inflammatory transcriptome identifies a subset of patients with symptomatic knee OA who are at increased risk of radiographic progression. These findings may reflect low-grade inflammation in OA and may be useful as diagnostic and prognostic biomarkers in clinical development of disease-modifying OA drugs.","author":[{"dropping-particle":"","family":"Attur","given":"Mukundan","non-dropping-particle":"","parse-names":false,"suffix":""},{"dropping-particle":"","family":"Krasnokutsky","given":"Svetlana","non-dropping-particle":"","parse-names":false,"suffix":""},{"dropping-particle":"","family":"Statnikov","given":"Alexander","non-dropping-particle":"","parse-names":false,"suffix":""},{"dropping-particle":"","family":"Samuels","given":"Jonathan","non-dropping-particle":"","parse-names":false,"suffix":""},{"dropping-particle":"","family":"Li","given":"Zhiguo","non-dropping-particle":"","parse-names":false,"suffix":""},{"dropping-particle":"","family":"Friese","given":"Olga","non-dropping-particle":"","parse-names":false,"suffix":""},{"dropping-particle":"","family":"Hellio Le Graverand-Gastineau","given":"Marie Pierre","non-dropping-particle":"","parse-names":false,"suffix":""},{"dropping-particle":"","family":"Rybak","given":"Leon","non-dropping-particle":"","parse-names":false,"suffix":""},{"dropping-particle":"","family":"Kraus","given":"Virginia B.","non-dropping-particle":"","parse-names":false,"suffix":""},{"dropping-particle":"","family":"Jordan","given":"Joanne M.","non-dropping-particle":"","parse-names":false,"suffix":""},{"dropping-particle":"","family":"Aliferis","given":"Constantin F.","non-dropping-particle":"","parse-names":false,"suffix":""},{"dropping-particle":"","family":"Abramson","given":"Steven B.","non-dropping-particle":"","parse-names":false,"suffix":""}],"container-title":"Arthritis and Rheumatology","id":"ITEM-1","issue":"11","issued":{"date-parts":[["2015"]]},"page":"2905-2915","title":"Low-grade inflammation in symptomatic knee osteoarthritis: Prognostic value of inflammatory plasma lipids and peripheral blood leukocyte biomarkers","type":"article-journal","volume":"67"},"uris":["http://www.mendeley.com/documents/?uuid=61fef5d3-db0d-4af1-a03f-0b8b52a79d2f"]}],"mendeley":{"formattedCitation":"(32)","plainTextFormattedCitation":"(32)","previouslyFormattedCitation":"(32)"},"properties":{"noteIndex":0},"schema":"https://github.com/citation-style-language/schema/raw/master/csl-citation.json"}</w:instrText>
      </w:r>
      <w:r w:rsidR="00354820" w:rsidRPr="006F4ECB">
        <w:rPr>
          <w:rFonts w:ascii="Times New Roman" w:hAnsi="Times New Roman" w:cs="Times New Roman"/>
          <w:sz w:val="20"/>
          <w:szCs w:val="20"/>
        </w:rPr>
        <w:fldChar w:fldCharType="separate"/>
      </w:r>
      <w:r w:rsidR="00354820" w:rsidRPr="006F4ECB">
        <w:rPr>
          <w:rFonts w:ascii="Times New Roman" w:hAnsi="Times New Roman" w:cs="Times New Roman"/>
          <w:noProof/>
          <w:sz w:val="20"/>
          <w:szCs w:val="20"/>
        </w:rPr>
        <w:t>(32)</w:t>
      </w:r>
      <w:r w:rsidR="00354820" w:rsidRPr="006F4ECB">
        <w:rPr>
          <w:rFonts w:ascii="Times New Roman" w:hAnsi="Times New Roman" w:cs="Times New Roman"/>
          <w:sz w:val="20"/>
          <w:szCs w:val="20"/>
        </w:rPr>
        <w:fldChar w:fldCharType="end"/>
      </w:r>
      <w:r w:rsidR="00354820" w:rsidRPr="006F4ECB">
        <w:rPr>
          <w:rFonts w:ascii="Times New Roman" w:hAnsi="Times New Roman" w:cs="Times New Roman"/>
          <w:sz w:val="20"/>
          <w:szCs w:val="20"/>
        </w:rPr>
        <w:t>.</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Penuunan kadar IL-1β dikarenakan kandungan zat aktif gingerol pada jahe mampu menurunkan sitokin proinflamasi seperti IL-1β sehingga proses degradasi sendi tidak terjadi</w:t>
      </w:r>
      <w:r w:rsidRPr="006F4ECB">
        <w:rPr>
          <w:rFonts w:ascii="Times New Roman" w:hAnsi="Times New Roman" w:cs="Times New Roman"/>
          <w:sz w:val="20"/>
          <w:szCs w:val="20"/>
        </w:rPr>
        <w:fldChar w:fldCharType="begin" w:fldLock="1"/>
      </w:r>
      <w:r w:rsidR="002B6552" w:rsidRPr="006F4ECB">
        <w:rPr>
          <w:rFonts w:ascii="Times New Roman" w:hAnsi="Times New Roman" w:cs="Times New Roman"/>
          <w:sz w:val="20"/>
          <w:szCs w:val="20"/>
        </w:rPr>
        <w:instrText>ADDIN CSL_CITATION {"citationItems":[{"id":"ITEM-1","itemData":{"DOI":"10.1155/2012/505842","author":[{"dropping-particle":"","family":"Ribel-madsen","given":"Søren","non-dropping-particle":"","parse-names":false,"suffix":""},{"dropping-particle":"","family":"Bartels","given":"Else Marie","non-dropping-particle":"","parse-names":false,"suffix":""},{"dropping-particle":"","family":"Stockmarr","given":"Anders","non-dropping-particle":"","parse-names":false,"suffix":""},{"dropping-particle":"","family":"Borgwardt","given":"Arne","non-dropping-particle":"","parse-names":false,"suffix":""},{"dropping-particle":"","family":"Cornett","given":"Claus","non-dropping-particle":"","parse-names":false,"suffix":""},{"dropping-particle":"","family":"Danneskiold-samsøe","given":"Bente","non-dropping-particle":"","parse-names":false,"suffix":""},{"dropping-particle":"","family":"Bliddal","given":"Henning","non-dropping-particle":"","parse-names":false,"suffix":""}],"id":"ITEM-1","issued":{"date-parts":[["2012"]]},"publisher-place":"Denmark","title":"A Synoviocyte Model for Osteoarthritis and Rheumatoid Arthritis : Response to Ibuprofen , Betamethasone , and Ginger Extract — A Cross-Sectional In Vitro Study","type":"report","volume":"2012"},"uris":["http://www.mendeley.com/documents/?uuid=3f617d88-5fff-4bb4-8681-20a3738babef"]},{"id":"ITEM-2","itemData":{"DOI":"10.1016/j.joca.2014.09.024","ISSN":"1063-4584","author":[{"dropping-particle":"","family":"Bartels","given":"E M","non-dropping-particle":"","parse-names":false,"suffix":""},{"dropping-particle":"","family":"Folmer","given":"V N","non-dropping-particle":"","parse-names":false,"suffix":""},{"dropping-particle":"","family":"Bliddal","given":"H","non-dropping-particle":"","parse-names":false,"suffix":""},{"dropping-particle":"","family":"Altman","given":"R D","non-dropping-particle":"","parse-names":false,"suffix":""},{"dropping-particle":"","family":"Juhl","given":"C","non-dropping-particle":"","parse-names":false,"suffix":""},{"dropping-particle":"","family":"Tarp","given":"S","non-dropping-particle":"","parse-names":false,"suffix":""},{"dropping-particle":"","family":"Zhang","given":"W","non-dropping-particle":"","parse-names":false,"suffix":""},{"dropping-particle":"","family":"Christensen","given":"R","non-dropping-particle":"","parse-names":false,"suffix":""}],"container-title":"Osteoarthritis and Cartilage","id":"ITEM-2","issue":"1","issued":{"date-parts":[["2015"]]},"page":"13-21","publisher":"Elsevier Ltd","title":"Efficacy and safety of ginger in osteoarthritis patients : a meta-analysis of randomized placebo-controlled trials","type":"article-journal","volume":"23"},"uris":["http://www.mendeley.com/documents/?uuid=d02ab666-8f96-4097-9774-6446513b7a86"]}],"mendeley":{"formattedCitation":"(33,34)","plainTextFormattedCitation":"(33,34)","previouslyFormattedCitation":"(33,34)"},"properties":{"noteIndex":0},"schema":"https://github.com/citation-style-language/schema/raw/master/csl-citation.json"}</w:instrText>
      </w:r>
      <w:r w:rsidRPr="006F4ECB">
        <w:rPr>
          <w:rFonts w:ascii="Times New Roman" w:hAnsi="Times New Roman" w:cs="Times New Roman"/>
          <w:sz w:val="20"/>
          <w:szCs w:val="20"/>
        </w:rPr>
        <w:fldChar w:fldCharType="separate"/>
      </w:r>
      <w:r w:rsidR="00354820" w:rsidRPr="006F4ECB">
        <w:rPr>
          <w:rFonts w:ascii="Times New Roman" w:hAnsi="Times New Roman" w:cs="Times New Roman"/>
          <w:noProof/>
          <w:sz w:val="20"/>
          <w:szCs w:val="20"/>
        </w:rPr>
        <w:t>(33,34)</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IL-1β merupakan sitokin proinflamasi yang dapat menyebabkan aktifasi pembentukan NO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{"citationItems":[{"id":"ITEM-1","itemData":{"author":[{"dropping-particle":"","family":"Wojdasiewicz","given":"Piotr","non-dropping-particle":"","parse-names":false,"suffix":""},{"dropping-particle":"","family":"Poniatowski","given":"A A","non-dropping-particle":"","parse-names":false,"suffix":""},{"dropping-particle":"","family":"Szukiewicz","given":"Dariusz","non-dropping-particle":"","parse-names":false,"suffix":""}],"id":"ITEM-1","issued":{"date-parts":[["2014"]]},"title":"The Role of Inflammatory and Anti-Inflammatory Cytokines in the Pathogenesis of Osteoarthritis","type":"article-journal","volume":"2014"},"uris":["http://www.mendeley.com/documents/?uuid=401dcdfb-da6f-431e-a44c-7817a5ddf4ae"]}],"mendeley":{"formattedCitation":"(8)","plainTextFormattedCitation":"(8)","previouslyFormattedCitation":"(8)"},"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(8)</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w:t>
      </w:r>
      <w:proofErr w:type="spellStart"/>
      <w:r w:rsidRPr="006F4ECB">
        <w:rPr>
          <w:rFonts w:ascii="Times New Roman" w:hAnsi="Times New Roman" w:cs="Times New Roman"/>
          <w:sz w:val="20"/>
          <w:szCs w:val="20"/>
          <w:lang w:val="en-US"/>
        </w:rPr>
        <w:t>Zat</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aktif</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polifenol</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dan</w:t>
      </w:r>
      <w:proofErr w:type="spellEnd"/>
      <w:r w:rsidRPr="006F4ECB">
        <w:rPr>
          <w:rFonts w:ascii="Times New Roman" w:hAnsi="Times New Roman" w:cs="Times New Roman"/>
          <w:sz w:val="20"/>
          <w:szCs w:val="20"/>
          <w:lang w:val="en-US"/>
        </w:rPr>
        <w:t xml:space="preserve"> flavonoid </w:t>
      </w:r>
      <w:proofErr w:type="spellStart"/>
      <w:r w:rsidRPr="006F4ECB">
        <w:rPr>
          <w:rFonts w:ascii="Times New Roman" w:hAnsi="Times New Roman" w:cs="Times New Roman"/>
          <w:sz w:val="20"/>
          <w:szCs w:val="20"/>
          <w:lang w:val="en-US"/>
        </w:rPr>
        <w:t>pada</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alang-alang</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mampu</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menetralisir</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sifat</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radikal</w:t>
      </w:r>
      <w:proofErr w:type="spellEnd"/>
      <w:r w:rsidRPr="006F4ECB">
        <w:rPr>
          <w:rFonts w:ascii="Times New Roman" w:hAnsi="Times New Roman" w:cs="Times New Roman"/>
          <w:sz w:val="20"/>
          <w:szCs w:val="20"/>
          <w:lang w:val="en-US"/>
        </w:rPr>
        <w:t xml:space="preserve"> NO </w:t>
      </w:r>
      <w:proofErr w:type="spellStart"/>
      <w:r w:rsidRPr="006F4ECB">
        <w:rPr>
          <w:rFonts w:ascii="Times New Roman" w:hAnsi="Times New Roman" w:cs="Times New Roman"/>
          <w:sz w:val="20"/>
          <w:szCs w:val="20"/>
          <w:lang w:val="en-US"/>
        </w:rPr>
        <w:t>karena</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perannya</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sebagai</w:t>
      </w:r>
      <w:proofErr w:type="spellEnd"/>
      <w:r w:rsidRPr="006F4ECB">
        <w:rPr>
          <w:rFonts w:ascii="Times New Roman" w:hAnsi="Times New Roman" w:cs="Times New Roman"/>
          <w:sz w:val="20"/>
          <w:szCs w:val="20"/>
          <w:lang w:val="en-US"/>
        </w:rPr>
        <w:t xml:space="preserve"> </w:t>
      </w:r>
      <w:proofErr w:type="spellStart"/>
      <w:r w:rsidRPr="006F4ECB">
        <w:rPr>
          <w:rFonts w:ascii="Times New Roman" w:hAnsi="Times New Roman" w:cs="Times New Roman"/>
          <w:sz w:val="20"/>
          <w:szCs w:val="20"/>
          <w:lang w:val="en-US"/>
        </w:rPr>
        <w:t>antioksidan</w:t>
      </w:r>
      <w:proofErr w:type="spellEnd"/>
      <w:r w:rsidRPr="006F4ECB">
        <w:rPr>
          <w:rFonts w:ascii="Times New Roman" w:hAnsi="Times New Roman" w:cs="Times New Roman"/>
          <w:sz w:val="20"/>
          <w:szCs w:val="20"/>
          <w:lang w:val="en-US"/>
        </w:rPr>
        <w:t xml:space="preserve"> </w:t>
      </w:r>
      <w:r w:rsidRPr="006F4ECB">
        <w:rPr>
          <w:rFonts w:ascii="Times New Roman" w:hAnsi="Times New Roman" w:cs="Times New Roman"/>
          <w:sz w:val="20"/>
          <w:szCs w:val="20"/>
          <w:lang w:val="en-US"/>
        </w:rPr>
        <w:fldChar w:fldCharType="begin" w:fldLock="1"/>
      </w:r>
      <w:r w:rsidR="002B6552" w:rsidRPr="006F4ECB">
        <w:rPr>
          <w:rFonts w:ascii="Times New Roman" w:hAnsi="Times New Roman" w:cs="Times New Roman"/>
          <w:sz w:val="20"/>
          <w:szCs w:val="20"/>
          <w:lang w:val="en-US"/>
        </w:rPr>
        <w:instrText>ADDIN CSL_CITATION {"citationItems":[{"id":"ITEM-1","itemData":{"author":[{"dropping-particle":"","family":"Dhianawaty","given":"Diah","non-dropping-particle":"","parse-names":false,"suffix":""},{"dropping-particle":"","family":"Farmasi","given":"Fakultas","non-dropping-particle":"","parse-names":false,"suffix":""},{"dropping-particle":"","family":"Halu","given":"Universitas","non-dropping-particle":"","parse-names":false,"suffix":""},{"dropping-particle":"","family":"Kendari","given":"Oleo","non-dropping-particle":"","parse-names":false,"suffix":""}],"container-title":"departemen biokimia dan biomolekular fakultas kedokteran universitas padjadjaran bandung","id":"ITEM-1","issue":"1","issued":{"date-parts":[["2014"]]},"title":"Kandungan Total Polifenol dan Aktivitas Antioksidan dari Ekstrak Metanol Akar Imperata cylindrica ( L ) Beauv . ( Alang-alang ) Total Polyphenol Content and Antioxidant Activity of Methanol Extract of Imperata cylindrica ( L ) Beauv . ( Alang-alang ) Root","type":"article-journal","volume":"47"},"uris":["http://www.mendeley.com/documents/?uuid=e3a4eb46-f4cf-43c8-bcc0-4dd94f7bee68"]}],"mendeley":{"formattedCitation":"(35)","plainTextFormattedCitation":"(35)","previouslyFormattedCitation":"(35)"},"properties":{"noteIndex":0},"schema":"https://github.com/citation-style-language/schema/raw/master/csl-citation.json"}</w:instrText>
      </w:r>
      <w:r w:rsidRPr="006F4ECB">
        <w:rPr>
          <w:rFonts w:ascii="Times New Roman" w:hAnsi="Times New Roman" w:cs="Times New Roman"/>
          <w:sz w:val="20"/>
          <w:szCs w:val="20"/>
          <w:lang w:val="en-US"/>
        </w:rPr>
        <w:fldChar w:fldCharType="separate"/>
      </w:r>
      <w:r w:rsidR="00354820" w:rsidRPr="006F4ECB">
        <w:rPr>
          <w:rFonts w:ascii="Times New Roman" w:hAnsi="Times New Roman" w:cs="Times New Roman"/>
          <w:noProof/>
          <w:sz w:val="20"/>
          <w:szCs w:val="20"/>
          <w:lang w:val="en-US"/>
        </w:rPr>
        <w:t>(35)</w:t>
      </w:r>
      <w:r w:rsidRPr="006F4ECB">
        <w:rPr>
          <w:rFonts w:ascii="Times New Roman" w:hAnsi="Times New Roman" w:cs="Times New Roman"/>
          <w:sz w:val="20"/>
          <w:szCs w:val="20"/>
          <w:lang w:val="en-US"/>
        </w:rPr>
        <w:fldChar w:fldCharType="end"/>
      </w:r>
      <w:r w:rsidRPr="006F4ECB">
        <w:rPr>
          <w:rFonts w:ascii="Times New Roman" w:hAnsi="Times New Roman" w:cs="Times New Roman"/>
          <w:sz w:val="20"/>
          <w:szCs w:val="20"/>
        </w:rPr>
        <w:t xml:space="preserve">. Hasil uji </w:t>
      </w:r>
      <w:r w:rsidRPr="006F4ECB">
        <w:rPr>
          <w:rFonts w:ascii="Times New Roman" w:hAnsi="Times New Roman" w:cs="Times New Roman"/>
          <w:i/>
          <w:sz w:val="20"/>
          <w:szCs w:val="20"/>
        </w:rPr>
        <w:t>post hoc</w:t>
      </w:r>
      <w:r w:rsidRPr="006F4ECB">
        <w:rPr>
          <w:rFonts w:ascii="Times New Roman" w:hAnsi="Times New Roman" w:cs="Times New Roman"/>
          <w:sz w:val="20"/>
          <w:szCs w:val="20"/>
        </w:rPr>
        <w:t xml:space="preserve"> pada setiap kelompok perlakuan dibandingkan dengan kelompok positif didapatkan hasil yang signifikan (p&lt;0,05). Sehingga terdapat perbedaan kadar IL-1β pada setiap kelompok. Dengan hasil </w:t>
      </w:r>
      <w:r w:rsidRPr="006F4ECB">
        <w:rPr>
          <w:rFonts w:ascii="Times New Roman" w:hAnsi="Times New Roman" w:cs="Times New Roman"/>
          <w:i/>
          <w:sz w:val="20"/>
          <w:szCs w:val="20"/>
        </w:rPr>
        <w:t>r-square</w:t>
      </w:r>
      <w:r w:rsidRPr="006F4ECB">
        <w:rPr>
          <w:rFonts w:ascii="Times New Roman" w:hAnsi="Times New Roman" w:cs="Times New Roman"/>
          <w:sz w:val="20"/>
          <w:szCs w:val="20"/>
        </w:rPr>
        <w:t xml:space="preserve"> 56% menunjukkan kemampuan menurunkan IL-1β hanya sebesar 56% yaitu pada kelompok perlakuan 3 dosis 32+40mg.</w:t>
      </w:r>
    </w:p>
    <w:p w:rsidR="005531DB" w:rsidRPr="006F4ECB" w:rsidRDefault="005531DB"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Efek Kombinasi Dekokta </w:t>
      </w:r>
      <w:r w:rsidR="008832B7" w:rsidRPr="006F4ECB">
        <w:rPr>
          <w:rFonts w:ascii="Times New Roman" w:hAnsi="Times New Roman" w:cs="Times New Roman"/>
          <w:b/>
          <w:sz w:val="20"/>
          <w:szCs w:val="20"/>
        </w:rPr>
        <w:t xml:space="preserve">RJMA </w:t>
      </w:r>
      <w:r w:rsidRPr="006F4ECB">
        <w:rPr>
          <w:rFonts w:ascii="Times New Roman" w:hAnsi="Times New Roman" w:cs="Times New Roman"/>
          <w:b/>
          <w:sz w:val="20"/>
          <w:szCs w:val="20"/>
        </w:rPr>
        <w:t>Terhadap Jumlah Leukosit</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Tabel 5.3 menunjukkan rerata jumlah leukosit tikus pada setiap kelompok. Rerata jumlah leukosit pada kelompok positif mengalami peningkatan. Peningkatan jumlah leukosit tikus, dapat disebabkan karena injeksi dari CFA. Rerata jumlah leukosit pada kelompok perlakuan mengalami penurunan mendekati normal</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Kandungan jahe merah seperti gingerol, shogaol, atau  paradol juga dapat menghampat kerja enzim COX 1 dan COX 2 seperti ibuprofen dan bethametason </w:t>
      </w:r>
      <w:r w:rsidRPr="006F4ECB">
        <w:rPr>
          <w:rFonts w:ascii="Times New Roman" w:hAnsi="Times New Roman" w:cs="Times New Roman"/>
          <w:sz w:val="20"/>
          <w:szCs w:val="20"/>
        </w:rPr>
        <w:fldChar w:fldCharType="begin" w:fldLock="1"/>
      </w:r>
      <w:r w:rsidR="002B6552" w:rsidRPr="006F4ECB">
        <w:rPr>
          <w:rFonts w:ascii="Times New Roman" w:hAnsi="Times New Roman" w:cs="Times New Roman"/>
          <w:sz w:val="20"/>
          <w:szCs w:val="20"/>
        </w:rPr>
        <w:instrText>ADDIN CSL_CITATION {"citationItems":[{"id":"ITEM-1","itemData":{"DOI":"10.1155/2012/505842","author":[{"dropping-particle":"","family":"Ribel-madsen","given":"Søren","non-dropping-particle":"","parse-names":false,"suffix":""},{"dropping-particle":"","family":"Bartels","given":"Else Marie","non-dropping-particle":"","parse-names":false,"suffix":""},{"dropping-particle":"","family":"Stockmarr","given":"Anders","non-dropping-particle":"","parse-names":false,"suffix":""},{"dropping-particle":"","family":"Borgwardt","given":"Arne","non-dropping-particle":"","parse-names":false,"suffix":""},{"dropping-particle":"","family":"Cornett","given":"Claus","non-dropping-particle":"","parse-names":false,"suffix":""},{"dropping-particle":"","family":"Danneskiold-samsøe","given":"Bente","non-dropping-particle":"","parse-names":false,"suffix":""},{"dropping-particle":"","family":"Bliddal","given":"Henning","non-dropping-particle":"","parse-names":false,"suffix":""}],"id":"ITEM-1","issued":{"date-parts":[["2012"]]},"publisher-place":"Denmark","title":"A Synoviocyte Model for Osteoarthritis and Rheumatoid Arthritis : Response to Ibuprofen , Betamethasone , and Ginger Extract — A Cross-Sectional In Vitro Study","type":"report","volume":"2012"},"uris":["http://www.mendeley.com/documents/?uuid=3f617d88-5fff-4bb4-8681-20a3738babef"]}],"mendeley":{"formattedCitation":"(33)","plainTextFormattedCitation":"(33)","previouslyFormattedCitation":"(33)"},"properties":{"noteIndex":0},"schema":"https://github.com/citation-style-language/schema/raw/master/csl-citation.json"}</w:instrText>
      </w:r>
      <w:r w:rsidRPr="006F4ECB">
        <w:rPr>
          <w:rFonts w:ascii="Times New Roman" w:hAnsi="Times New Roman" w:cs="Times New Roman"/>
          <w:sz w:val="20"/>
          <w:szCs w:val="20"/>
        </w:rPr>
        <w:fldChar w:fldCharType="separate"/>
      </w:r>
      <w:r w:rsidR="00354820" w:rsidRPr="006F4ECB">
        <w:rPr>
          <w:rFonts w:ascii="Times New Roman" w:hAnsi="Times New Roman" w:cs="Times New Roman"/>
          <w:noProof/>
          <w:sz w:val="20"/>
          <w:szCs w:val="20"/>
        </w:rPr>
        <w:t>(33)</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Selain itu juga menghambat leukotrien. Penghambatan dari leukotrien dapat menyebabkan migrasi leukosit pada pembuluh darah menurun, sehingga jumlah leukosit dalam darah menurun. </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Sedangkan alang-alang mempunyai zat aktif berupa is</w:t>
      </w:r>
      <w:r w:rsidR="00F908F5" w:rsidRPr="006F4ECB">
        <w:rPr>
          <w:rFonts w:ascii="Times New Roman" w:hAnsi="Times New Roman" w:cs="Times New Roman"/>
          <w:sz w:val="20"/>
          <w:szCs w:val="20"/>
        </w:rPr>
        <w:t>ogue</w:t>
      </w:r>
      <w:r w:rsidRPr="006F4ECB">
        <w:rPr>
          <w:rFonts w:ascii="Times New Roman" w:hAnsi="Times New Roman" w:cs="Times New Roman"/>
          <w:sz w:val="20"/>
          <w:szCs w:val="20"/>
        </w:rPr>
        <w:t xml:space="preserve">nin yang berperan pada penurunan leukosit melalui mekanisme penghambatan terpecahnya lipopolisakarida makrofag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{"citationItems":[{"id":"ITEM-1","itemData":{"DOI":"10.3390/molecules201219767","ISSN":"14203049","abstract":"Phytochemical studies on the constituents of the rhizomes of Imperata cylindrica (Gramineae) were performed using high-performance liquid chromatography (HPLC). We also aimed to search for any biologically active substance capable of inhibiting nitric oxide (NO) formation in lipopolysaccharide (LPS)-activated macrophage 264.7 cells, by testing four compounds isolated from this plant. Four compounds, including a new chromone, isoeugenin, along with ferulic acid, p-coumaric acid, and caffeic acid were isolated and identified by NMR spectroscopy. The structure of isoeugenin was determined as 7-hydroxy-5-methoxy-2-methylchromone by the 2D-NMR technique. Among the four compounds, isoeugenin has the lowest IC50 value on the inhibition of NO production in LPS-activated macrophage RAW264.7 cells (IC50, 9.33 g/mL). In addition, isoeugenin significantly suppressed the LPS-induced expressions of inducible nitric oxide synthase (iNOS), cyclooxygenase-2 (COX-2), and proinflammatory cytokines mRNA levels. Taken together, these results suggest that the anti-inflammatory activity of isoeugenin is associated with the down-regulation of iNOS, COX-2, and pro-inflammatory cytokines in RAW264.7 cells. Accordingly, our results suggest that the new chromone isoegenin should be considered a potential treatment for inflammatory disease.","author":[{"dropping-particle":"","family":"An","given":"Hyo Jin","non-dropping-particle":"","parse-names":false,"suffix":""},{"dropping-particle":"","family":"Nugroho","given":"Agung","non-dropping-particle":"","parse-names":false,"suffix":""},{"dropping-particle":"","family":"Song","given":"Byong Min","non-dropping-particle":"","parse-names":false,"suffix":""},{"dropping-particle":"","family":"Park","given":"Hee Juhn","non-dropping-particle":"","parse-names":false,"suffix":""}],"container-title":"Molecules","id":"ITEM-1","issue":"12","issued":{"date-parts":[["2015"]]},"page":"21336-21345","title":"Isoeugenin, a novel nitric oxide synthase inhibitor isolated from the rhizomes of imperata cylindrica","type":"article-journal","volume":"20"},"uris":["http://www.mendeley.com/documents/?uuid=cf2e9e41-2eea-41d6-915c-4e7a77c715ba"]}],"mendeley":{"formattedCitation":"(14)","plainTextFormattedCitation":"(14)","previouslyFormattedCitation":"(14)"},"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(14)</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Hasil uji </w:t>
      </w:r>
      <w:r w:rsidRPr="006F4ECB">
        <w:rPr>
          <w:rFonts w:ascii="Times New Roman" w:hAnsi="Times New Roman" w:cs="Times New Roman"/>
          <w:i/>
          <w:sz w:val="20"/>
          <w:szCs w:val="20"/>
        </w:rPr>
        <w:t>post hoc</w:t>
      </w:r>
      <w:r w:rsidRPr="006F4ECB">
        <w:rPr>
          <w:rFonts w:ascii="Times New Roman" w:hAnsi="Times New Roman" w:cs="Times New Roman"/>
          <w:sz w:val="20"/>
          <w:szCs w:val="20"/>
        </w:rPr>
        <w:t xml:space="preserve"> pada setiap kelompok perlakuan </w:t>
      </w:r>
      <w:r w:rsidRPr="006F4ECB">
        <w:rPr>
          <w:rFonts w:ascii="Times New Roman" w:hAnsi="Times New Roman" w:cs="Times New Roman"/>
          <w:sz w:val="20"/>
          <w:szCs w:val="20"/>
        </w:rPr>
        <w:lastRenderedPageBreak/>
        <w:t xml:space="preserve">dibandingkan dengan kelompok positif didapatkan hasil yang signifikan (p&lt;0,05). Sehingga terdapat perbedaan jumlah leukosit pada setiap kelompok. Dengan hasil </w:t>
      </w:r>
      <w:r w:rsidRPr="006F4ECB">
        <w:rPr>
          <w:rFonts w:ascii="Times New Roman" w:hAnsi="Times New Roman" w:cs="Times New Roman"/>
          <w:i/>
          <w:sz w:val="20"/>
          <w:szCs w:val="20"/>
        </w:rPr>
        <w:t>r-square</w:t>
      </w:r>
      <w:r w:rsidRPr="006F4ECB">
        <w:rPr>
          <w:rFonts w:ascii="Times New Roman" w:hAnsi="Times New Roman" w:cs="Times New Roman"/>
          <w:sz w:val="20"/>
          <w:szCs w:val="20"/>
        </w:rPr>
        <w:t xml:space="preserve"> 30% menunjukkan kemampuan menurunkan IL-1β hanya sebesar 30% yaitu pada kelompok perlakuan 3 dosis 32+40mg.</w:t>
      </w:r>
    </w:p>
    <w:p w:rsidR="005531DB" w:rsidRDefault="005531DB" w:rsidP="006F4ECB">
      <w:pPr>
        <w:spacing w:after="0" w:line="240" w:lineRule="auto"/>
        <w:jc w:val="both"/>
        <w:rPr>
          <w:rFonts w:ascii="Times New Roman" w:hAnsi="Times New Roman" w:cs="Times New Roman"/>
          <w:sz w:val="20"/>
          <w:szCs w:val="20"/>
        </w:rPr>
      </w:pPr>
    </w:p>
    <w:p w:rsidR="00F17152" w:rsidRPr="006F4ECB" w:rsidRDefault="00F17152"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 xml:space="preserve">Efek Kombinasi Dekokta </w:t>
      </w:r>
      <w:r w:rsidR="008832B7" w:rsidRPr="006F4ECB">
        <w:rPr>
          <w:rFonts w:ascii="Times New Roman" w:hAnsi="Times New Roman" w:cs="Times New Roman"/>
          <w:b/>
          <w:sz w:val="20"/>
          <w:szCs w:val="20"/>
        </w:rPr>
        <w:t>RJMA</w:t>
      </w:r>
      <w:r w:rsidRPr="006F4ECB">
        <w:rPr>
          <w:rFonts w:ascii="Times New Roman" w:hAnsi="Times New Roman" w:cs="Times New Roman"/>
          <w:b/>
          <w:sz w:val="20"/>
          <w:szCs w:val="20"/>
        </w:rPr>
        <w:t xml:space="preserve"> IL-1β Serum dan Jumlah Leukosit</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sz w:val="20"/>
          <w:szCs w:val="20"/>
        </w:rPr>
        <w:t xml:space="preserve">       </w:t>
      </w:r>
      <w:r w:rsidRPr="006F4ECB">
        <w:rPr>
          <w:rFonts w:ascii="Times New Roman" w:hAnsi="Times New Roman" w:cs="Times New Roman"/>
          <w:i/>
          <w:sz w:val="20"/>
          <w:szCs w:val="20"/>
        </w:rPr>
        <w:t xml:space="preserve">Complete Freund’s Adjuvant </w:t>
      </w:r>
      <w:r w:rsidRPr="006F4ECB">
        <w:rPr>
          <w:rFonts w:ascii="Times New Roman" w:hAnsi="Times New Roman" w:cs="Times New Roman"/>
          <w:sz w:val="20"/>
          <w:szCs w:val="20"/>
        </w:rPr>
        <w:t xml:space="preserve">(CFA) merupakan air yang terdapat daam emulsi yang mengandung 1mg/ml bakteri </w:t>
      </w:r>
      <w:r w:rsidRPr="006F4ECB">
        <w:rPr>
          <w:rFonts w:ascii="Times New Roman" w:hAnsi="Times New Roman" w:cs="Times New Roman"/>
          <w:i/>
          <w:sz w:val="20"/>
          <w:szCs w:val="20"/>
        </w:rPr>
        <w:t xml:space="preserve">Mycobaterium tuberculosis </w:t>
      </w:r>
      <w:r w:rsidRPr="006F4ECB">
        <w:rPr>
          <w:rFonts w:ascii="Times New Roman" w:hAnsi="Times New Roman" w:cs="Times New Roman"/>
          <w:sz w:val="20"/>
          <w:szCs w:val="20"/>
        </w:rPr>
        <w:t xml:space="preserve">kering inaktif yang dikemas dalam 10ml ampul </w:t>
      </w:r>
      <w:r w:rsidRPr="006F4ECB">
        <w:rPr>
          <w:rFonts w:ascii="Times New Roman" w:hAnsi="Times New Roman" w:cs="Times New Roman"/>
          <w:sz w:val="20"/>
          <w:szCs w:val="20"/>
        </w:rPr>
        <w:fldChar w:fldCharType="begin" w:fldLock="1"/>
      </w:r>
      <w:r w:rsidRPr="006F4ECB">
        <w:rPr>
          <w:rFonts w:ascii="Times New Roman" w:hAnsi="Times New Roman" w:cs="Times New Roman"/>
          <w:sz w:val="20"/>
          <w:szCs w:val="20"/>
        </w:rPr>
        <w:instrText>ADDIN CSL_CITATION {"citationItems":[{"id":"ITEM-1","itemData":{"author":[{"dropping-particle":"","family":"Gomes","given":"Raquel Pinheiro","non-dropping-particle":"","parse-names":false,"suffix":""},{"dropping-particle":"","family":"Bressan","given":"Elisangela","non-dropping-particle":"","parse-names":false,"suffix":""},{"dropping-particle":"","family":"Morgana","given":"Tatiane","non-dropping-particle":"","parse-names":false,"suffix":""},{"dropping-particle":"","family":"Gevaerd","given":"Silva","non-dropping-particle":"","parse-names":false,"suffix":""},{"dropping-particle":"","family":"Tonussi","given":"Carlos Rogério","non-dropping-particle":"","parse-names":false,"suffix":""},{"dropping-particle":"","family":"Domenech","given":"Susana Cristina","non-dropping-particle":"","parse-names":false,"suffix":""}],"id":"ITEM-1","issue":"55 48","issued":{"date-parts":[["2013"]]},"page":"76-82","title":"Standardization of an experimental model suitable for studies on the effect of exercise on arthritis Padronização de modelo experimental adequado a estudos do efeito do exercício na artrite","type":"article-journal","volume":"11"},"uris":["http://www.mendeley.com/documents/?uuid=06e11a9a-5034-473b-9d8b-01c515afeba5"]}],"mendeley":{"formattedCitation":"(17)","plainTextFormattedCitation":"(17)","previouslyFormattedCitation":"(17)"},"properties":{"noteIndex":0},"schema":"https://github.com/citation-style-language/schema/raw/master/csl-citation.json"}</w:instrText>
      </w:r>
      <w:r w:rsidRPr="006F4ECB">
        <w:rPr>
          <w:rFonts w:ascii="Times New Roman" w:hAnsi="Times New Roman" w:cs="Times New Roman"/>
          <w:sz w:val="20"/>
          <w:szCs w:val="20"/>
        </w:rPr>
        <w:fldChar w:fldCharType="separate"/>
      </w:r>
      <w:r w:rsidRPr="006F4ECB">
        <w:rPr>
          <w:rFonts w:ascii="Times New Roman" w:hAnsi="Times New Roman" w:cs="Times New Roman"/>
          <w:noProof/>
          <w:sz w:val="20"/>
          <w:szCs w:val="20"/>
        </w:rPr>
        <w:t>(17)</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CFA menyebabkan stimulasi </w:t>
      </w:r>
      <w:r w:rsidRPr="006F4ECB">
        <w:rPr>
          <w:rFonts w:ascii="Times New Roman" w:hAnsi="Times New Roman" w:cs="Times New Roman"/>
          <w:i/>
          <w:sz w:val="20"/>
          <w:szCs w:val="20"/>
        </w:rPr>
        <w:t xml:space="preserve">Antigen Precenting Cell </w:t>
      </w:r>
      <w:r w:rsidRPr="006F4ECB">
        <w:rPr>
          <w:rFonts w:ascii="Times New Roman" w:hAnsi="Times New Roman" w:cs="Times New Roman"/>
          <w:sz w:val="20"/>
          <w:szCs w:val="20"/>
        </w:rPr>
        <w:t xml:space="preserve"> (APC) berupa sel-sel </w:t>
      </w:r>
      <w:r w:rsidRPr="006F4ECB">
        <w:rPr>
          <w:rFonts w:ascii="Times New Roman" w:hAnsi="Times New Roman" w:cs="Times New Roman"/>
          <w:i/>
          <w:sz w:val="20"/>
          <w:szCs w:val="20"/>
        </w:rPr>
        <w:t>Myeloid Progenitor Cell</w:t>
      </w:r>
      <w:r w:rsidRPr="006F4ECB">
        <w:rPr>
          <w:rFonts w:ascii="Times New Roman" w:hAnsi="Times New Roman" w:cs="Times New Roman"/>
          <w:sz w:val="20"/>
          <w:szCs w:val="20"/>
        </w:rPr>
        <w:t xml:space="preserve"> (MPC), sel dendritik, dan sel </w:t>
      </w:r>
      <w:r w:rsidRPr="006F4ECB">
        <w:rPr>
          <w:rFonts w:ascii="Times New Roman" w:hAnsi="Times New Roman" w:cs="Times New Roman"/>
          <w:i/>
          <w:sz w:val="20"/>
          <w:szCs w:val="20"/>
        </w:rPr>
        <w:t>Natural killer</w:t>
      </w:r>
      <w:r w:rsidRPr="006F4ECB">
        <w:rPr>
          <w:rFonts w:ascii="Times New Roman" w:hAnsi="Times New Roman" w:cs="Times New Roman"/>
          <w:sz w:val="20"/>
          <w:szCs w:val="20"/>
        </w:rPr>
        <w:t xml:space="preserve"> sehingga antigen dapat dipresentasikan pada CD4+ melalui MHC2. Stimulasi dari CD4+ menyebabkan aktifasi dari </w:t>
      </w:r>
      <w:r w:rsidRPr="006F4ECB">
        <w:rPr>
          <w:rFonts w:ascii="Times New Roman" w:hAnsi="Times New Roman" w:cs="Times New Roman"/>
          <w:i/>
          <w:sz w:val="20"/>
          <w:szCs w:val="20"/>
        </w:rPr>
        <w:t>T</w:t>
      </w:r>
      <w:r w:rsidRPr="006F4ECB">
        <w:rPr>
          <w:rFonts w:ascii="Times New Roman" w:hAnsi="Times New Roman" w:cs="Times New Roman"/>
          <w:sz w:val="20"/>
          <w:szCs w:val="20"/>
        </w:rPr>
        <w:t>-</w:t>
      </w:r>
      <w:r w:rsidRPr="006F4ECB">
        <w:rPr>
          <w:rFonts w:ascii="Times New Roman" w:hAnsi="Times New Roman" w:cs="Times New Roman"/>
          <w:i/>
          <w:sz w:val="20"/>
          <w:szCs w:val="20"/>
        </w:rPr>
        <w:t xml:space="preserve">helper </w:t>
      </w:r>
      <w:r w:rsidRPr="006F4ECB">
        <w:rPr>
          <w:rFonts w:ascii="Times New Roman" w:hAnsi="Times New Roman" w:cs="Times New Roman"/>
          <w:sz w:val="20"/>
          <w:szCs w:val="20"/>
        </w:rPr>
        <w:t>sehingga terjadi pengeluaran sitokin pro-inflamasi seperti IL-6,IL-1, IL-2, TNFa,b, IFN, dan lain-lain</w:t>
      </w:r>
      <w:r w:rsidRPr="006F4ECB">
        <w:rPr>
          <w:rFonts w:ascii="Times New Roman" w:hAnsi="Times New Roman" w:cs="Times New Roman"/>
          <w:sz w:val="20"/>
          <w:szCs w:val="20"/>
        </w:rPr>
        <w:fldChar w:fldCharType="begin" w:fldLock="1"/>
      </w:r>
      <w:r w:rsidR="003D2BB4" w:rsidRPr="006F4ECB">
        <w:rPr>
          <w:rFonts w:ascii="Times New Roman" w:hAnsi="Times New Roman" w:cs="Times New Roman"/>
          <w:sz w:val="20"/>
          <w:szCs w:val="20"/>
        </w:rPr>
        <w:instrText>ADDIN CSL_CITATION {"citationItems":[{"id":"ITEM-1","itemData":{"author":[{"dropping-particle":"","family":"Billiau","given":"Alfons","non-dropping-particle":"","parse-names":false,"suffix":""},{"dropping-particle":"","family":"Matthys","given":"Patrick","non-dropping-particle":"","parse-names":false,"suffix":""}],"id":"ITEM-1","issue":"December","issued":{"date-parts":[["2001"]]},"page":"849-860","title":"Modes of action of Freund ’ s adjuvants in experimental models of autoimmune diseases","type":"article-journal","volume":"70"},"uris":["http://www.mendeley.com/documents/?uuid=bcf07528-80a8-4dd3-9bed-5feed11daca0"]}],"mendeley":{"formattedCitation":"(31)","plainTextFormattedCitation":"(31)","previouslyFormattedCitation":"(31)"},"properties":{"noteIndex":0},"schema":"https://github.com/citation-style-language/schema/raw/master/csl-citation.json"}</w:instrText>
      </w:r>
      <w:r w:rsidRPr="006F4ECB">
        <w:rPr>
          <w:rFonts w:ascii="Times New Roman" w:hAnsi="Times New Roman" w:cs="Times New Roman"/>
          <w:sz w:val="20"/>
          <w:szCs w:val="20"/>
        </w:rPr>
        <w:fldChar w:fldCharType="separate"/>
      </w:r>
      <w:r w:rsidR="003D2BB4" w:rsidRPr="006F4ECB">
        <w:rPr>
          <w:rFonts w:ascii="Times New Roman" w:hAnsi="Times New Roman" w:cs="Times New Roman"/>
          <w:noProof/>
          <w:sz w:val="20"/>
          <w:szCs w:val="20"/>
        </w:rPr>
        <w:t>(31)</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Aktifasi dari IL-1 dapat menyebabkan aktifasi makrofag yang akan memfagositosis kartilago. Makrofag nantinya akan mati dan dinding selnya akan rusak sehingga terjadi pemecahan lipopolisakarida. Lipopolisakarida akan terbentuk asam arakidonat yang akan berikatan dengan siklooksigenase sehingga leukosit meningkat melalui leukotrien </w:t>
      </w:r>
      <w:r w:rsidRPr="006F4ECB">
        <w:rPr>
          <w:rFonts w:ascii="Times New Roman" w:hAnsi="Times New Roman" w:cs="Times New Roman"/>
          <w:sz w:val="20"/>
          <w:szCs w:val="20"/>
        </w:rPr>
        <w:fldChar w:fldCharType="begin" w:fldLock="1"/>
      </w:r>
      <w:r w:rsidR="002B6552" w:rsidRPr="006F4ECB">
        <w:rPr>
          <w:rFonts w:ascii="Times New Roman" w:hAnsi="Times New Roman" w:cs="Times New Roman"/>
          <w:sz w:val="20"/>
          <w:szCs w:val="20"/>
        </w:rPr>
        <w:instrText>ADDIN CSL_CITATION {"citationItems":[{"id":"ITEM-1","itemData":{"DOI":"10.1517/13543784.7.5.803","ISBN":"13: 978-1-133-10454-4","ISSN":"1744-7658","PMID":"15991970","author":[{"dropping-particle":"","family":"Sherwood","given":"Lauralee","non-dropping-particle":"","parse-names":false,"suffix":""}],"id":"ITEM-1","issued":{"date-parts":[["2014"]]},"title":"Introduction to Human Physiology: From Cell to System","type":"article-journal","volume":"1"},"uris":["http://www.mendeley.com/documents/?uuid=d64d92d1-c8b4-4ee6-82b7-c0ec95c818cb"]}],"mendeley":{"formattedCitation":"(36)","plainTextFormattedCitation":"(36)","previouslyFormattedCitation":"(36)"},"properties":{"noteIndex":0},"schema":"https://github.com/citation-style-language/schema/raw/master/csl-citation.json"}</w:instrText>
      </w:r>
      <w:r w:rsidRPr="006F4ECB">
        <w:rPr>
          <w:rFonts w:ascii="Times New Roman" w:hAnsi="Times New Roman" w:cs="Times New Roman"/>
          <w:sz w:val="20"/>
          <w:szCs w:val="20"/>
        </w:rPr>
        <w:fldChar w:fldCharType="separate"/>
      </w:r>
      <w:r w:rsidR="00354820" w:rsidRPr="006F4ECB">
        <w:rPr>
          <w:rFonts w:ascii="Times New Roman" w:hAnsi="Times New Roman" w:cs="Times New Roman"/>
          <w:noProof/>
          <w:sz w:val="20"/>
          <w:szCs w:val="20"/>
        </w:rPr>
        <w:t>(36)</w:t>
      </w:r>
      <w:r w:rsidRPr="006F4ECB">
        <w:rPr>
          <w:rFonts w:ascii="Times New Roman" w:hAnsi="Times New Roman" w:cs="Times New Roman"/>
          <w:sz w:val="20"/>
          <w:szCs w:val="20"/>
        </w:rPr>
        <w:fldChar w:fldCharType="end"/>
      </w:r>
      <w:r w:rsidRPr="006F4ECB">
        <w:rPr>
          <w:rFonts w:ascii="Times New Roman" w:hAnsi="Times New Roman" w:cs="Times New Roman"/>
          <w:sz w:val="20"/>
          <w:szCs w:val="20"/>
        </w:rPr>
        <w:t xml:space="preserve">. Sehingga peningkatan kadar IL-1β dapat meningkatkan jumlah leukosit melalui mekanisme tersebut. </w:t>
      </w:r>
    </w:p>
    <w:p w:rsidR="005531DB" w:rsidRPr="006F4ECB" w:rsidRDefault="005531DB"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KESIMPULAN</w:t>
      </w:r>
    </w:p>
    <w:p w:rsidR="005531DB"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 xml:space="preserve">       Dari penelitian ini dapa</w:t>
      </w:r>
      <w:r w:rsidR="00864E26" w:rsidRPr="006F4ECB">
        <w:rPr>
          <w:rFonts w:ascii="Times New Roman" w:hAnsi="Times New Roman" w:cs="Times New Roman"/>
          <w:sz w:val="20"/>
          <w:szCs w:val="20"/>
        </w:rPr>
        <w:t>t</w:t>
      </w:r>
      <w:r w:rsidRPr="006F4ECB">
        <w:rPr>
          <w:rFonts w:ascii="Times New Roman" w:hAnsi="Times New Roman" w:cs="Times New Roman"/>
          <w:sz w:val="20"/>
          <w:szCs w:val="20"/>
        </w:rPr>
        <w:t xml:space="preserve"> disimpulkan bahwa P1 (9+40mg/hari), P2 (18+40mg/hari), P3 (36+40mg/hari) dosis kombinasi</w:t>
      </w:r>
      <w:r w:rsidR="00687E64" w:rsidRPr="006F4ECB">
        <w:rPr>
          <w:rFonts w:ascii="Times New Roman" w:hAnsi="Times New Roman" w:cs="Times New Roman"/>
          <w:sz w:val="20"/>
          <w:szCs w:val="20"/>
        </w:rPr>
        <w:t xml:space="preserve"> RJMA</w:t>
      </w:r>
      <w:r w:rsidRPr="006F4ECB">
        <w:rPr>
          <w:rFonts w:ascii="Times New Roman" w:hAnsi="Times New Roman" w:cs="Times New Roman"/>
          <w:sz w:val="20"/>
          <w:szCs w:val="20"/>
        </w:rPr>
        <w:t xml:space="preserve"> mampu menurunkan IL-1β serum dan jumlah leukosit tikus OA. Namun dosis pada kelompok perlakuan 3 yaitu 32+40mg adalah dosis yang </w:t>
      </w:r>
      <w:r w:rsidR="00B51DD9">
        <w:rPr>
          <w:rFonts w:ascii="Times New Roman" w:hAnsi="Times New Roman" w:cs="Times New Roman"/>
          <w:sz w:val="20"/>
          <w:szCs w:val="20"/>
        </w:rPr>
        <w:t xml:space="preserve">dapat </w:t>
      </w:r>
      <w:r w:rsidRPr="006F4ECB">
        <w:rPr>
          <w:rFonts w:ascii="Times New Roman" w:hAnsi="Times New Roman" w:cs="Times New Roman"/>
          <w:sz w:val="20"/>
          <w:szCs w:val="20"/>
        </w:rPr>
        <w:t xml:space="preserve">menurunkan IL-1β serum dan jumlah leukosit mendekati kelompok kontrol negatif. </w:t>
      </w:r>
    </w:p>
    <w:p w:rsidR="005531DB" w:rsidRPr="006F4ECB" w:rsidRDefault="005531DB" w:rsidP="006F4ECB">
      <w:pPr>
        <w:spacing w:after="0" w:line="240" w:lineRule="auto"/>
        <w:jc w:val="both"/>
        <w:rPr>
          <w:rFonts w:ascii="Times New Roman" w:hAnsi="Times New Roman" w:cs="Times New Roman"/>
          <w:sz w:val="20"/>
          <w:szCs w:val="20"/>
        </w:rPr>
      </w:pPr>
    </w:p>
    <w:p w:rsidR="008832B7"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SARAN</w:t>
      </w:r>
    </w:p>
    <w:p w:rsidR="00864E26"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sz w:val="20"/>
          <w:szCs w:val="20"/>
        </w:rPr>
        <w:t>Dari penelitian ini, disarankan</w:t>
      </w:r>
      <w:r w:rsidR="004D2392" w:rsidRPr="006F4ECB">
        <w:rPr>
          <w:rFonts w:ascii="Times New Roman" w:hAnsi="Times New Roman" w:cs="Times New Roman"/>
          <w:sz w:val="20"/>
          <w:szCs w:val="20"/>
        </w:rPr>
        <w:t xml:space="preserve"> untuk</w:t>
      </w:r>
    </w:p>
    <w:p w:rsidR="00864E26" w:rsidRPr="006F4ECB" w:rsidRDefault="004D2392" w:rsidP="006F4ECB">
      <w:pPr>
        <w:pStyle w:val="ListParagraph"/>
        <w:numPr>
          <w:ilvl w:val="0"/>
          <w:numId w:val="1"/>
        </w:numPr>
        <w:spacing w:after="0" w:line="240" w:lineRule="auto"/>
        <w:ind w:hanging="720"/>
        <w:jc w:val="both"/>
        <w:rPr>
          <w:rFonts w:ascii="Times New Roman" w:hAnsi="Times New Roman" w:cs="Times New Roman"/>
          <w:sz w:val="20"/>
          <w:szCs w:val="20"/>
        </w:rPr>
      </w:pPr>
      <w:r w:rsidRPr="006F4ECB">
        <w:rPr>
          <w:rFonts w:ascii="Times New Roman" w:hAnsi="Times New Roman" w:cs="Times New Roman"/>
          <w:sz w:val="20"/>
          <w:szCs w:val="20"/>
        </w:rPr>
        <w:t>M</w:t>
      </w:r>
      <w:r w:rsidR="005531DB" w:rsidRPr="006F4ECB">
        <w:rPr>
          <w:rFonts w:ascii="Times New Roman" w:hAnsi="Times New Roman" w:cs="Times New Roman"/>
          <w:sz w:val="20"/>
          <w:szCs w:val="20"/>
        </w:rPr>
        <w:t>eneliti lebih lanjut tentang eksplorasi dosis yang lebih ting</w:t>
      </w:r>
      <w:r w:rsidR="002A6BC1" w:rsidRPr="006F4ECB">
        <w:rPr>
          <w:rFonts w:ascii="Times New Roman" w:hAnsi="Times New Roman" w:cs="Times New Roman"/>
          <w:sz w:val="20"/>
          <w:szCs w:val="20"/>
        </w:rPr>
        <w:t xml:space="preserve">gi dari kombinasi dekokta RJMA </w:t>
      </w:r>
      <w:r w:rsidR="005531DB" w:rsidRPr="006F4ECB">
        <w:rPr>
          <w:rFonts w:ascii="Times New Roman" w:hAnsi="Times New Roman" w:cs="Times New Roman"/>
          <w:sz w:val="20"/>
          <w:szCs w:val="20"/>
        </w:rPr>
        <w:t>dalam kemampuan menur</w:t>
      </w:r>
      <w:r w:rsidR="00B51DD9">
        <w:rPr>
          <w:rFonts w:ascii="Times New Roman" w:hAnsi="Times New Roman" w:cs="Times New Roman"/>
          <w:sz w:val="20"/>
          <w:szCs w:val="20"/>
        </w:rPr>
        <w:t xml:space="preserve">unkan IL-1β dan jumlah leukosit. </w:t>
      </w:r>
    </w:p>
    <w:p w:rsidR="005531DB" w:rsidRPr="006F4ECB" w:rsidRDefault="004D2392" w:rsidP="006F4ECB">
      <w:pPr>
        <w:pStyle w:val="ListParagraph"/>
        <w:numPr>
          <w:ilvl w:val="0"/>
          <w:numId w:val="1"/>
        </w:numPr>
        <w:spacing w:after="0" w:line="240" w:lineRule="auto"/>
        <w:ind w:left="709" w:hanging="709"/>
        <w:jc w:val="both"/>
        <w:rPr>
          <w:rFonts w:ascii="Times New Roman" w:hAnsi="Times New Roman" w:cs="Times New Roman"/>
          <w:sz w:val="20"/>
          <w:szCs w:val="20"/>
        </w:rPr>
      </w:pPr>
      <w:r w:rsidRPr="006F4ECB">
        <w:rPr>
          <w:rFonts w:ascii="Times New Roman" w:hAnsi="Times New Roman" w:cs="Times New Roman"/>
          <w:sz w:val="20"/>
          <w:szCs w:val="20"/>
        </w:rPr>
        <w:t>M</w:t>
      </w:r>
      <w:r w:rsidR="005531DB" w:rsidRPr="006F4ECB">
        <w:rPr>
          <w:rFonts w:ascii="Times New Roman" w:hAnsi="Times New Roman" w:cs="Times New Roman"/>
          <w:sz w:val="20"/>
          <w:szCs w:val="20"/>
        </w:rPr>
        <w:t>eneliti lebih lanjut tentang dosis toksik dari</w:t>
      </w:r>
      <w:r w:rsidR="002A6BC1" w:rsidRPr="006F4ECB">
        <w:rPr>
          <w:rFonts w:ascii="Times New Roman" w:hAnsi="Times New Roman" w:cs="Times New Roman"/>
          <w:sz w:val="20"/>
          <w:szCs w:val="20"/>
        </w:rPr>
        <w:t xml:space="preserve"> kombinasi dekokta RJMA.</w:t>
      </w:r>
    </w:p>
    <w:p w:rsidR="005531DB" w:rsidRPr="006F4ECB" w:rsidRDefault="005531DB" w:rsidP="006F4ECB">
      <w:pPr>
        <w:spacing w:after="0" w:line="240" w:lineRule="auto"/>
        <w:jc w:val="both"/>
        <w:rPr>
          <w:rFonts w:ascii="Times New Roman" w:hAnsi="Times New Roman" w:cs="Times New Roman"/>
          <w:sz w:val="20"/>
          <w:szCs w:val="20"/>
        </w:rPr>
      </w:pPr>
    </w:p>
    <w:p w:rsidR="005531DB" w:rsidRPr="006F4ECB" w:rsidRDefault="005531DB"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UCAPAN TERIMAKASIH</w:t>
      </w:r>
    </w:p>
    <w:p w:rsidR="0010064E" w:rsidRPr="006F4ECB" w:rsidRDefault="005531DB" w:rsidP="006F4ECB">
      <w:pPr>
        <w:spacing w:after="0" w:line="240" w:lineRule="auto"/>
        <w:jc w:val="both"/>
        <w:rPr>
          <w:rFonts w:ascii="Times New Roman" w:hAnsi="Times New Roman" w:cs="Times New Roman"/>
          <w:sz w:val="20"/>
          <w:szCs w:val="20"/>
        </w:rPr>
      </w:pPr>
      <w:r w:rsidRPr="006F4ECB">
        <w:rPr>
          <w:rFonts w:ascii="Times New Roman" w:hAnsi="Times New Roman" w:cs="Times New Roman"/>
          <w:b/>
          <w:sz w:val="20"/>
          <w:szCs w:val="20"/>
        </w:rPr>
        <w:t xml:space="preserve">       </w:t>
      </w:r>
      <w:r w:rsidRPr="006F4ECB">
        <w:rPr>
          <w:rFonts w:ascii="Times New Roman" w:hAnsi="Times New Roman" w:cs="Times New Roman"/>
          <w:sz w:val="20"/>
          <w:szCs w:val="20"/>
        </w:rPr>
        <w:t>Terima kasih disampaikan kepada IOM dan Fakultas Kedokteran Universitas Islam Malang, serta tim kelompok penelitian yang telah membantu penelitian ini.</w:t>
      </w:r>
    </w:p>
    <w:p w:rsidR="0010064E" w:rsidRPr="006F4ECB" w:rsidRDefault="0010064E" w:rsidP="006F4ECB">
      <w:pPr>
        <w:spacing w:after="0" w:line="240" w:lineRule="auto"/>
        <w:jc w:val="both"/>
        <w:rPr>
          <w:rFonts w:ascii="Times New Roman" w:hAnsi="Times New Roman" w:cs="Times New Roman"/>
          <w:sz w:val="20"/>
          <w:szCs w:val="20"/>
        </w:rPr>
      </w:pPr>
    </w:p>
    <w:p w:rsidR="003D2BB4" w:rsidRDefault="003D2BB4" w:rsidP="006F4ECB">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t>DAFTAR PUSTAKA</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 </w:t>
      </w:r>
      <w:r w:rsidRPr="00706750">
        <w:rPr>
          <w:rFonts w:ascii="Times New Roman" w:hAnsi="Times New Roman" w:cs="Times New Roman"/>
          <w:noProof/>
          <w:sz w:val="20"/>
          <w:szCs w:val="24"/>
        </w:rPr>
        <w:tab/>
        <w:t xml:space="preserve">Perhimpunan Reumatologi Indonesia. </w:t>
      </w:r>
      <w:r w:rsidRPr="00706750">
        <w:rPr>
          <w:rFonts w:ascii="Times New Roman" w:hAnsi="Times New Roman" w:cs="Times New Roman"/>
          <w:noProof/>
          <w:sz w:val="20"/>
          <w:szCs w:val="24"/>
        </w:rPr>
        <w:lastRenderedPageBreak/>
        <w:t xml:space="preserve">Rheumatology. 2nd ed. Kasjmir Y, editor. Vol. 2, </w:t>
      </w:r>
      <w:r w:rsidRPr="00706750">
        <w:rPr>
          <w:rFonts w:ascii="Times New Roman" w:hAnsi="Times New Roman" w:cs="Times New Roman"/>
          <w:i/>
          <w:noProof/>
          <w:sz w:val="20"/>
          <w:szCs w:val="24"/>
        </w:rPr>
        <w:t>Indonesia Journal of Rheumatology</w:t>
      </w:r>
      <w:r w:rsidRPr="00706750">
        <w:rPr>
          <w:rFonts w:ascii="Times New Roman" w:hAnsi="Times New Roman" w:cs="Times New Roman"/>
          <w:noProof/>
          <w:sz w:val="20"/>
          <w:szCs w:val="24"/>
        </w:rPr>
        <w:t xml:space="preserve">. 2010. i+48. </w:t>
      </w:r>
    </w:p>
    <w:p w:rsidR="00706750" w:rsidRPr="00706750" w:rsidRDefault="002B6552" w:rsidP="00706750">
      <w:pPr>
        <w:widowControl w:val="0"/>
        <w:autoSpaceDE w:val="0"/>
        <w:autoSpaceDN w:val="0"/>
        <w:adjustRightInd w:val="0"/>
        <w:spacing w:after="0" w:line="240" w:lineRule="auto"/>
        <w:ind w:left="567" w:hanging="567"/>
        <w:jc w:val="both"/>
        <w:rPr>
          <w:rFonts w:ascii="Times New Roman" w:hAnsi="Times New Roman" w:cs="Times New Roman"/>
          <w:noProof/>
          <w:sz w:val="20"/>
          <w:szCs w:val="24"/>
        </w:rPr>
      </w:pPr>
      <w:r w:rsidRPr="006F4ECB">
        <w:rPr>
          <w:rFonts w:ascii="Times New Roman" w:hAnsi="Times New Roman" w:cs="Times New Roman"/>
          <w:b/>
          <w:sz w:val="20"/>
          <w:szCs w:val="20"/>
        </w:rPr>
        <w:fldChar w:fldCharType="begin" w:fldLock="1"/>
      </w:r>
      <w:r w:rsidRPr="006F4ECB">
        <w:rPr>
          <w:rFonts w:ascii="Times New Roman" w:hAnsi="Times New Roman" w:cs="Times New Roman"/>
          <w:b/>
          <w:sz w:val="20"/>
          <w:szCs w:val="20"/>
        </w:rPr>
        <w:instrText xml:space="preserve">ADDIN Mendeley Bibliography CSL_BIBLIOGRAPHY </w:instrText>
      </w:r>
      <w:r w:rsidRPr="006F4ECB">
        <w:rPr>
          <w:rFonts w:ascii="Times New Roman" w:hAnsi="Times New Roman" w:cs="Times New Roman"/>
          <w:b/>
          <w:sz w:val="20"/>
          <w:szCs w:val="20"/>
        </w:rPr>
        <w:fldChar w:fldCharType="separate"/>
      </w:r>
      <w:r w:rsidR="00706750">
        <w:rPr>
          <w:rFonts w:ascii="Times New Roman" w:hAnsi="Times New Roman" w:cs="Times New Roman"/>
          <w:noProof/>
          <w:sz w:val="20"/>
          <w:szCs w:val="24"/>
        </w:rPr>
        <w:t xml:space="preserve">2. </w:t>
      </w:r>
      <w:r w:rsidR="00706750">
        <w:rPr>
          <w:rFonts w:ascii="Times New Roman" w:hAnsi="Times New Roman" w:cs="Times New Roman"/>
          <w:noProof/>
          <w:sz w:val="20"/>
          <w:szCs w:val="24"/>
        </w:rPr>
        <w:tab/>
      </w:r>
      <w:r w:rsidR="00706750" w:rsidRPr="00706750">
        <w:rPr>
          <w:rFonts w:ascii="Times New Roman" w:hAnsi="Times New Roman" w:cs="Times New Roman"/>
          <w:noProof/>
          <w:sz w:val="20"/>
          <w:szCs w:val="24"/>
        </w:rPr>
        <w:t xml:space="preserve">WHO. Osteoasrthritis. Departement of Chorni Disease and Promotion. 2009.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 </w:t>
      </w:r>
      <w:r w:rsidRPr="00706750">
        <w:rPr>
          <w:rFonts w:ascii="Times New Roman" w:hAnsi="Times New Roman" w:cs="Times New Roman"/>
          <w:noProof/>
          <w:sz w:val="20"/>
          <w:szCs w:val="24"/>
        </w:rPr>
        <w:tab/>
      </w:r>
      <w:r>
        <w:rPr>
          <w:rFonts w:ascii="Times New Roman" w:hAnsi="Times New Roman" w:cs="Times New Roman"/>
          <w:noProof/>
          <w:sz w:val="20"/>
          <w:szCs w:val="24"/>
        </w:rPr>
        <w:t>Adhiiputra AP. Osteoertritis</w:t>
      </w:r>
      <w:r w:rsidRPr="00706750">
        <w:rPr>
          <w:rFonts w:ascii="Times New Roman" w:hAnsi="Times New Roman" w:cs="Times New Roman"/>
          <w:noProof/>
          <w:sz w:val="20"/>
          <w:szCs w:val="24"/>
        </w:rPr>
        <w:t xml:space="preserve"> Bali; 2017. Available from: https://simdos.unud.ac.id</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4. </w:t>
      </w:r>
      <w:r w:rsidRPr="00706750">
        <w:rPr>
          <w:rFonts w:ascii="Times New Roman" w:hAnsi="Times New Roman" w:cs="Times New Roman"/>
          <w:noProof/>
          <w:sz w:val="20"/>
          <w:szCs w:val="24"/>
        </w:rPr>
        <w:tab/>
        <w:t xml:space="preserve">Njoto I. </w:t>
      </w:r>
      <w:r w:rsidRPr="00BF20BB">
        <w:rPr>
          <w:rFonts w:ascii="Times New Roman" w:hAnsi="Times New Roman" w:cs="Times New Roman"/>
          <w:i/>
          <w:noProof/>
          <w:sz w:val="20"/>
          <w:szCs w:val="24"/>
        </w:rPr>
        <w:t>Epidemiologi, patogenesis dan faktor resiko osteoartritis</w:t>
      </w:r>
      <w:r w:rsidRPr="00706750">
        <w:rPr>
          <w:rFonts w:ascii="Times New Roman" w:hAnsi="Times New Roman" w:cs="Times New Roman"/>
          <w:noProof/>
          <w:sz w:val="20"/>
          <w:szCs w:val="24"/>
        </w:rPr>
        <w:t xml:space="preserve">. 2010;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5. </w:t>
      </w:r>
      <w:r w:rsidRPr="00706750">
        <w:rPr>
          <w:rFonts w:ascii="Times New Roman" w:hAnsi="Times New Roman" w:cs="Times New Roman"/>
          <w:noProof/>
          <w:sz w:val="20"/>
          <w:szCs w:val="24"/>
        </w:rPr>
        <w:tab/>
        <w:t xml:space="preserve">Arismunandar R. </w:t>
      </w:r>
      <w:r w:rsidR="00BF20BB">
        <w:rPr>
          <w:rFonts w:ascii="Times New Roman" w:hAnsi="Times New Roman" w:cs="Times New Roman"/>
          <w:i/>
          <w:noProof/>
          <w:sz w:val="20"/>
          <w:szCs w:val="24"/>
        </w:rPr>
        <w:t>T</w:t>
      </w:r>
      <w:r w:rsidRPr="00BF20BB">
        <w:rPr>
          <w:rFonts w:ascii="Times New Roman" w:hAnsi="Times New Roman" w:cs="Times New Roman"/>
          <w:i/>
          <w:noProof/>
          <w:sz w:val="20"/>
          <w:szCs w:val="24"/>
        </w:rPr>
        <w:t>he Relations Between Obesity and Osteoarthritis Knee in Elderly Patients.</w:t>
      </w:r>
      <w:r w:rsidRPr="00706750">
        <w:rPr>
          <w:rFonts w:ascii="Times New Roman" w:hAnsi="Times New Roman" w:cs="Times New Roman"/>
          <w:noProof/>
          <w:sz w:val="20"/>
          <w:szCs w:val="24"/>
        </w:rPr>
        <w:t xml:space="preserve"> Med J Lampung Univ [Internet]. 2015;4(5):110–6. Available from: http://juke.kedokteran.unila.ac.id/index.php/majority/article/view/617/621</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6. </w:t>
      </w:r>
      <w:r w:rsidRPr="00706750">
        <w:rPr>
          <w:rFonts w:ascii="Times New Roman" w:hAnsi="Times New Roman" w:cs="Times New Roman"/>
          <w:noProof/>
          <w:sz w:val="20"/>
          <w:szCs w:val="24"/>
        </w:rPr>
        <w:tab/>
        <w:t>Maharani EP. Faktor-faktor Risiko Osteoartritis Lutut. Tesis [Internet]. 2007; Available from: http://eprints.undip.ac.id/17308/1/Eka_Pratiwi_Maharani.pdf</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7. </w:t>
      </w:r>
      <w:r w:rsidRPr="00706750">
        <w:rPr>
          <w:rFonts w:ascii="Times New Roman" w:hAnsi="Times New Roman" w:cs="Times New Roman"/>
          <w:noProof/>
          <w:sz w:val="20"/>
          <w:szCs w:val="24"/>
        </w:rPr>
        <w:tab/>
        <w:t xml:space="preserve">Sudoyo AW. Buku Ajar Ilmu Penyakit Dalam Jilid III Edisi V. 2009.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8. </w:t>
      </w:r>
      <w:r w:rsidRPr="00706750">
        <w:rPr>
          <w:rFonts w:ascii="Times New Roman" w:hAnsi="Times New Roman" w:cs="Times New Roman"/>
          <w:noProof/>
          <w:sz w:val="20"/>
          <w:szCs w:val="24"/>
        </w:rPr>
        <w:tab/>
        <w:t xml:space="preserve">Wojdasiewicz P, Poniatowski AA, Szukiewicz D. </w:t>
      </w:r>
      <w:r w:rsidRPr="00BF20BB">
        <w:rPr>
          <w:rFonts w:ascii="Times New Roman" w:hAnsi="Times New Roman" w:cs="Times New Roman"/>
          <w:i/>
          <w:noProof/>
          <w:sz w:val="20"/>
          <w:szCs w:val="24"/>
        </w:rPr>
        <w:t>The Role of Inflammatory and Anti-Inflammatory Cytokines in the Pathogenesis of Osteoarthritis</w:t>
      </w:r>
      <w:r w:rsidRPr="00706750">
        <w:rPr>
          <w:rFonts w:ascii="Times New Roman" w:hAnsi="Times New Roman" w:cs="Times New Roman"/>
          <w:noProof/>
          <w:sz w:val="20"/>
          <w:szCs w:val="24"/>
        </w:rPr>
        <w:t xml:space="preserve">. 2014;2014.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9. </w:t>
      </w:r>
      <w:r w:rsidRPr="00706750">
        <w:rPr>
          <w:rFonts w:ascii="Times New Roman" w:hAnsi="Times New Roman" w:cs="Times New Roman"/>
          <w:noProof/>
          <w:sz w:val="20"/>
          <w:szCs w:val="24"/>
        </w:rPr>
        <w:tab/>
        <w:t xml:space="preserve">Scanzello CR, Loeser RF. HHS Public Access. 2015;67(11):2797–800.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10. </w:t>
      </w:r>
      <w:r w:rsidRPr="00706750">
        <w:rPr>
          <w:rFonts w:ascii="Times New Roman" w:hAnsi="Times New Roman" w:cs="Times New Roman"/>
          <w:noProof/>
          <w:sz w:val="20"/>
          <w:szCs w:val="24"/>
        </w:rPr>
        <w:tab/>
        <w:t xml:space="preserve">Sivera F, Andrés M, Quilis N. </w:t>
      </w:r>
      <w:r w:rsidRPr="00BF20BB">
        <w:rPr>
          <w:rFonts w:ascii="Times New Roman" w:hAnsi="Times New Roman" w:cs="Times New Roman"/>
          <w:i/>
          <w:noProof/>
          <w:sz w:val="20"/>
          <w:szCs w:val="24"/>
        </w:rPr>
        <w:t>Gout: Diagnosis and treatment</w:t>
      </w:r>
      <w:r w:rsidRPr="00706750">
        <w:rPr>
          <w:rFonts w:ascii="Times New Roman" w:hAnsi="Times New Roman" w:cs="Times New Roman"/>
          <w:noProof/>
          <w:sz w:val="20"/>
          <w:szCs w:val="24"/>
        </w:rPr>
        <w:t xml:space="preserve">. Med Clin (Barc). 2017;148(6):271–6.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11. </w:t>
      </w:r>
      <w:r w:rsidRPr="00706750">
        <w:rPr>
          <w:rFonts w:ascii="Times New Roman" w:hAnsi="Times New Roman" w:cs="Times New Roman"/>
          <w:noProof/>
          <w:sz w:val="20"/>
          <w:szCs w:val="24"/>
        </w:rPr>
        <w:tab/>
        <w:t xml:space="preserve">Baker E, Bernstein I, Birrell F, Conaghan P, Cumming J, Doherty M, et al. </w:t>
      </w:r>
      <w:r w:rsidRPr="00BF20BB">
        <w:rPr>
          <w:rFonts w:ascii="Times New Roman" w:hAnsi="Times New Roman" w:cs="Times New Roman"/>
          <w:i/>
          <w:noProof/>
          <w:sz w:val="20"/>
          <w:szCs w:val="24"/>
        </w:rPr>
        <w:t>Osteoarthritis : care and management</w:t>
      </w:r>
      <w:r w:rsidRPr="00706750">
        <w:rPr>
          <w:rFonts w:ascii="Times New Roman" w:hAnsi="Times New Roman" w:cs="Times New Roman"/>
          <w:noProof/>
          <w:sz w:val="20"/>
          <w:szCs w:val="24"/>
        </w:rPr>
        <w:t>. 2018;(February 2014). Available from: https://www.nice.org.uk/guidance/cg177</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12. </w:t>
      </w:r>
      <w:r w:rsidRPr="00706750">
        <w:rPr>
          <w:rFonts w:ascii="Times New Roman" w:hAnsi="Times New Roman" w:cs="Times New Roman"/>
          <w:noProof/>
          <w:sz w:val="20"/>
          <w:szCs w:val="24"/>
        </w:rPr>
        <w:tab/>
        <w:t xml:space="preserve">Tsai J., Burnett-bowie S, Neer R., Zhu, Derico. </w:t>
      </w:r>
      <w:r w:rsidRPr="00BF20BB">
        <w:rPr>
          <w:rFonts w:ascii="Times New Roman" w:hAnsi="Times New Roman" w:cs="Times New Roman"/>
          <w:i/>
          <w:noProof/>
          <w:sz w:val="20"/>
          <w:szCs w:val="24"/>
        </w:rPr>
        <w:t>Comparative Effect of Teriparatide, Denosumab, and Combination Therapy on Peripheral Compartmental Bone Density, Microarchitecture, and Estimated Strength</w:t>
      </w:r>
      <w:r w:rsidRPr="00706750">
        <w:rPr>
          <w:rFonts w:ascii="Times New Roman" w:hAnsi="Times New Roman" w:cs="Times New Roman"/>
          <w:noProof/>
          <w:sz w:val="20"/>
          <w:szCs w:val="24"/>
        </w:rPr>
        <w:t xml:space="preserve">: the DATA-HRpQCT Study. 2015;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13. </w:t>
      </w:r>
      <w:r w:rsidRPr="00706750">
        <w:rPr>
          <w:rFonts w:ascii="Times New Roman" w:hAnsi="Times New Roman" w:cs="Times New Roman"/>
          <w:noProof/>
          <w:sz w:val="20"/>
          <w:szCs w:val="24"/>
        </w:rPr>
        <w:tab/>
        <w:t xml:space="preserve">Ardiansyah. </w:t>
      </w:r>
      <w:r w:rsidRPr="00BF20BB">
        <w:rPr>
          <w:rFonts w:ascii="Times New Roman" w:hAnsi="Times New Roman" w:cs="Times New Roman"/>
          <w:i/>
          <w:noProof/>
          <w:sz w:val="20"/>
          <w:szCs w:val="24"/>
        </w:rPr>
        <w:t xml:space="preserve">Pengaruh </w:t>
      </w:r>
      <w:r w:rsidR="00BF20BB" w:rsidRPr="00BF20BB">
        <w:rPr>
          <w:rFonts w:ascii="Times New Roman" w:hAnsi="Times New Roman" w:cs="Times New Roman"/>
          <w:i/>
          <w:noProof/>
          <w:sz w:val="20"/>
          <w:szCs w:val="24"/>
        </w:rPr>
        <w:t>Kompres Hangat Rebusan Jahe Terhadap Nyeri Pada Penderita Osteoartritis Lutut Di Panti Wredha Dharma Bhakti Surakarta.</w:t>
      </w:r>
      <w:r w:rsidR="00BF20BB">
        <w:rPr>
          <w:rFonts w:ascii="Times New Roman" w:hAnsi="Times New Roman" w:cs="Times New Roman"/>
          <w:noProof/>
          <w:sz w:val="20"/>
          <w:szCs w:val="24"/>
        </w:rPr>
        <w:t xml:space="preserve"> S</w:t>
      </w:r>
      <w:r w:rsidR="00BD13C9">
        <w:rPr>
          <w:rFonts w:ascii="Times New Roman" w:hAnsi="Times New Roman" w:cs="Times New Roman"/>
          <w:noProof/>
          <w:sz w:val="20"/>
          <w:szCs w:val="24"/>
        </w:rPr>
        <w:t>urakarta; 2015. i+25</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14. </w:t>
      </w:r>
      <w:r w:rsidRPr="00706750">
        <w:rPr>
          <w:rFonts w:ascii="Times New Roman" w:hAnsi="Times New Roman" w:cs="Times New Roman"/>
          <w:noProof/>
          <w:sz w:val="20"/>
          <w:szCs w:val="24"/>
        </w:rPr>
        <w:tab/>
        <w:t xml:space="preserve">An HJ, Nugroho A, Song BM, Park HJ. </w:t>
      </w:r>
      <w:r w:rsidRPr="00BF20BB">
        <w:rPr>
          <w:rFonts w:ascii="Times New Roman" w:hAnsi="Times New Roman" w:cs="Times New Roman"/>
          <w:i/>
          <w:noProof/>
          <w:sz w:val="20"/>
          <w:szCs w:val="24"/>
        </w:rPr>
        <w:t>Isoeugenin, a novel nitric oxide synthase inhibitor isolated from the rhizomes of imperata cylindrica.</w:t>
      </w:r>
      <w:r w:rsidRPr="00706750">
        <w:rPr>
          <w:rFonts w:ascii="Times New Roman" w:hAnsi="Times New Roman" w:cs="Times New Roman"/>
          <w:noProof/>
          <w:sz w:val="20"/>
          <w:szCs w:val="24"/>
        </w:rPr>
        <w:t xml:space="preserve"> </w:t>
      </w:r>
      <w:r w:rsidRPr="00BF20BB">
        <w:rPr>
          <w:rFonts w:ascii="Times New Roman" w:hAnsi="Times New Roman" w:cs="Times New Roman"/>
          <w:noProof/>
          <w:sz w:val="20"/>
          <w:szCs w:val="24"/>
        </w:rPr>
        <w:t>Molecules</w:t>
      </w:r>
      <w:r w:rsidRPr="00706750">
        <w:rPr>
          <w:rFonts w:ascii="Times New Roman" w:hAnsi="Times New Roman" w:cs="Times New Roman"/>
          <w:noProof/>
          <w:sz w:val="20"/>
          <w:szCs w:val="24"/>
        </w:rPr>
        <w:t xml:space="preserve">. 2015;20(12):21336–45.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15. </w:t>
      </w:r>
      <w:r w:rsidRPr="00706750">
        <w:rPr>
          <w:rFonts w:ascii="Times New Roman" w:hAnsi="Times New Roman" w:cs="Times New Roman"/>
          <w:noProof/>
          <w:sz w:val="20"/>
          <w:szCs w:val="24"/>
        </w:rPr>
        <w:tab/>
        <w:t xml:space="preserve">Hwang YH, Kim T, Kim R, Ha H. </w:t>
      </w:r>
      <w:r w:rsidRPr="00BF20BB">
        <w:rPr>
          <w:rFonts w:ascii="Times New Roman" w:hAnsi="Times New Roman" w:cs="Times New Roman"/>
          <w:i/>
          <w:noProof/>
          <w:sz w:val="20"/>
          <w:szCs w:val="24"/>
        </w:rPr>
        <w:t>The natural product 6-gingerol inhibits inflammation-associated osteoclast differentiation via reduction of prostaglandin E2 levels.</w:t>
      </w:r>
      <w:r w:rsidR="00BF20BB">
        <w:rPr>
          <w:rFonts w:ascii="Times New Roman" w:hAnsi="Times New Roman" w:cs="Times New Roman"/>
          <w:i/>
          <w:noProof/>
          <w:sz w:val="20"/>
          <w:szCs w:val="24"/>
        </w:rPr>
        <w:t xml:space="preserve"> </w:t>
      </w:r>
      <w:r w:rsidR="00BF20BB">
        <w:rPr>
          <w:rFonts w:ascii="Times New Roman" w:hAnsi="Times New Roman" w:cs="Times New Roman"/>
          <w:noProof/>
          <w:sz w:val="20"/>
          <w:szCs w:val="24"/>
        </w:rPr>
        <w:t>I</w:t>
      </w:r>
      <w:r w:rsidRPr="00BF20BB">
        <w:rPr>
          <w:rFonts w:ascii="Times New Roman" w:hAnsi="Times New Roman" w:cs="Times New Roman"/>
          <w:noProof/>
          <w:sz w:val="20"/>
          <w:szCs w:val="24"/>
        </w:rPr>
        <w:t>nt J Mol Sci</w:t>
      </w:r>
      <w:r w:rsidRPr="00706750">
        <w:rPr>
          <w:rFonts w:ascii="Times New Roman" w:hAnsi="Times New Roman" w:cs="Times New Roman"/>
          <w:noProof/>
          <w:sz w:val="20"/>
          <w:szCs w:val="24"/>
        </w:rPr>
        <w:t xml:space="preserve">. 2018;19(7). </w:t>
      </w:r>
    </w:p>
    <w:p w:rsid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16. </w:t>
      </w:r>
      <w:r w:rsidRPr="00706750">
        <w:rPr>
          <w:rFonts w:ascii="Times New Roman" w:hAnsi="Times New Roman" w:cs="Times New Roman"/>
          <w:noProof/>
          <w:sz w:val="20"/>
          <w:szCs w:val="24"/>
        </w:rPr>
        <w:tab/>
        <w:t xml:space="preserve">Andriyani R, Budiati TA, Pudjiraharti S. </w:t>
      </w:r>
      <w:r w:rsidRPr="00BF20BB">
        <w:rPr>
          <w:rFonts w:ascii="Times New Roman" w:hAnsi="Times New Roman" w:cs="Times New Roman"/>
          <w:i/>
          <w:noProof/>
          <w:sz w:val="20"/>
          <w:szCs w:val="24"/>
        </w:rPr>
        <w:t xml:space="preserve">Effect of Extraction Method on Total </w:t>
      </w:r>
      <w:r w:rsidRPr="00BF20BB">
        <w:rPr>
          <w:rFonts w:ascii="Times New Roman" w:hAnsi="Times New Roman" w:cs="Times New Roman"/>
          <w:i/>
          <w:noProof/>
          <w:sz w:val="20"/>
          <w:szCs w:val="24"/>
        </w:rPr>
        <w:lastRenderedPageBreak/>
        <w:t>Flavonoid, Total Phenolic Content, Antioxidant and Anti-bacterial Activity of Zingiberis Officinale Rhizome. Procedia Chem</w:t>
      </w:r>
      <w:r w:rsidRPr="00706750">
        <w:rPr>
          <w:rFonts w:ascii="Times New Roman" w:hAnsi="Times New Roman" w:cs="Times New Roman"/>
          <w:noProof/>
          <w:sz w:val="20"/>
          <w:szCs w:val="24"/>
        </w:rPr>
        <w:t xml:space="preserve"> [Internet]. 2015;16:149–54. Available from: http://linkinghub.elsevier.com/retrieve/pii/S1876619615001710</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17. </w:t>
      </w:r>
      <w:r w:rsidRPr="00706750">
        <w:rPr>
          <w:rFonts w:ascii="Times New Roman" w:hAnsi="Times New Roman" w:cs="Times New Roman"/>
          <w:noProof/>
          <w:sz w:val="20"/>
          <w:szCs w:val="24"/>
        </w:rPr>
        <w:tab/>
        <w:t xml:space="preserve">Gomes RP, Bressan E, Morgana T, Gevaerd S, Tonussi CR, Domenech SC. </w:t>
      </w:r>
      <w:r w:rsidRPr="00BF20BB">
        <w:rPr>
          <w:rFonts w:ascii="Times New Roman" w:hAnsi="Times New Roman" w:cs="Times New Roman"/>
          <w:i/>
          <w:noProof/>
          <w:sz w:val="20"/>
          <w:szCs w:val="24"/>
        </w:rPr>
        <w:t>Standardization of an experimental model suitable for studies on the effect of exercise on arthritis Padronização de modelo experimental adequado a estudos do efeito do exercício na artrite.</w:t>
      </w:r>
      <w:r w:rsidRPr="00706750">
        <w:rPr>
          <w:rFonts w:ascii="Times New Roman" w:hAnsi="Times New Roman" w:cs="Times New Roman"/>
          <w:noProof/>
          <w:sz w:val="20"/>
          <w:szCs w:val="24"/>
        </w:rPr>
        <w:t xml:space="preserve"> 2013;11(55 48):76–82.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18. </w:t>
      </w:r>
      <w:r w:rsidRPr="00706750">
        <w:rPr>
          <w:rFonts w:ascii="Times New Roman" w:hAnsi="Times New Roman" w:cs="Times New Roman"/>
          <w:noProof/>
          <w:sz w:val="20"/>
          <w:szCs w:val="24"/>
        </w:rPr>
        <w:tab/>
        <w:t xml:space="preserve">Torres-guzman AM, Morado-urbina CE, Alvarado-vazquez PA, Acosta-gonzalez RI, Chávez-piña AE, Montiel-ruiz RM, et al. </w:t>
      </w:r>
      <w:r w:rsidRPr="00BD13C9">
        <w:rPr>
          <w:rFonts w:ascii="Times New Roman" w:hAnsi="Times New Roman" w:cs="Times New Roman"/>
          <w:i/>
          <w:noProof/>
          <w:sz w:val="20"/>
          <w:szCs w:val="24"/>
        </w:rPr>
        <w:t>Chronic oral or intraarticular administration of docosahexaenoic acid reduces nociception and knee edema and improves functional outcomes in a mouse model of Complete Freund ’ s Adjuvant – induced knee arthritis.</w:t>
      </w:r>
      <w:r w:rsidRPr="00706750">
        <w:rPr>
          <w:rFonts w:ascii="Times New Roman" w:hAnsi="Times New Roman" w:cs="Times New Roman"/>
          <w:noProof/>
          <w:sz w:val="20"/>
          <w:szCs w:val="24"/>
        </w:rPr>
        <w:t xml:space="preserve"> 2014;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19. </w:t>
      </w:r>
      <w:r w:rsidRPr="00706750">
        <w:rPr>
          <w:rFonts w:ascii="Times New Roman" w:hAnsi="Times New Roman" w:cs="Times New Roman"/>
          <w:noProof/>
          <w:sz w:val="20"/>
          <w:szCs w:val="24"/>
        </w:rPr>
        <w:tab/>
        <w:t xml:space="preserve">Robin DMC. </w:t>
      </w:r>
      <w:r w:rsidRPr="00BD13C9">
        <w:rPr>
          <w:rFonts w:ascii="Times New Roman" w:hAnsi="Times New Roman" w:cs="Times New Roman"/>
          <w:i/>
          <w:noProof/>
          <w:sz w:val="20"/>
          <w:szCs w:val="24"/>
        </w:rPr>
        <w:t>Establishment Of A Rat Model Of Temporomandibular Joint Osteoarthritis Using Intraarticular Injection Of Complete Fre Und ’ S Adjuvant</w:t>
      </w:r>
      <w:r w:rsidRPr="00706750">
        <w:rPr>
          <w:rFonts w:ascii="Times New Roman" w:hAnsi="Times New Roman" w:cs="Times New Roman"/>
          <w:noProof/>
          <w:sz w:val="20"/>
          <w:szCs w:val="24"/>
        </w:rPr>
        <w:t xml:space="preserve">. 2016;190–3.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20. </w:t>
      </w:r>
      <w:r w:rsidRPr="00706750">
        <w:rPr>
          <w:rFonts w:ascii="Times New Roman" w:hAnsi="Times New Roman" w:cs="Times New Roman"/>
          <w:noProof/>
          <w:sz w:val="20"/>
          <w:szCs w:val="24"/>
        </w:rPr>
        <w:tab/>
        <w:t xml:space="preserve">Sciences P, Khan HM, Ashraf M, Hashmi AS, Ahmad MUD, Anjum AA, et al. </w:t>
      </w:r>
      <w:r w:rsidRPr="00BD13C9">
        <w:rPr>
          <w:rFonts w:ascii="Times New Roman" w:hAnsi="Times New Roman" w:cs="Times New Roman"/>
          <w:i/>
          <w:noProof/>
          <w:sz w:val="20"/>
          <w:szCs w:val="24"/>
        </w:rPr>
        <w:t>Clinical Assessment Of Experimentally Induced Osteoarthritis Rat Model In Relation To Time. J Anim plant Sc</w:t>
      </w:r>
      <w:r w:rsidRPr="00706750">
        <w:rPr>
          <w:rFonts w:ascii="Times New Roman" w:hAnsi="Times New Roman" w:cs="Times New Roman"/>
          <w:noProof/>
          <w:sz w:val="20"/>
          <w:szCs w:val="24"/>
        </w:rPr>
        <w:t xml:space="preserve">i. 2012;22(4):960–5.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21. </w:t>
      </w:r>
      <w:r w:rsidRPr="00706750">
        <w:rPr>
          <w:rFonts w:ascii="Times New Roman" w:hAnsi="Times New Roman" w:cs="Times New Roman"/>
          <w:noProof/>
          <w:sz w:val="20"/>
          <w:szCs w:val="24"/>
        </w:rPr>
        <w:tab/>
        <w:t xml:space="preserve">Osthoff AR, Juhl CB, Knittle K, Dagfinrud H, Hurkmans E, Braun J, et al. </w:t>
      </w:r>
      <w:r w:rsidRPr="00BD13C9">
        <w:rPr>
          <w:rFonts w:ascii="Times New Roman" w:hAnsi="Times New Roman" w:cs="Times New Roman"/>
          <w:i/>
          <w:noProof/>
          <w:sz w:val="20"/>
          <w:szCs w:val="24"/>
        </w:rPr>
        <w:t>Effects of exercise and physical activity promotion : meta-analysis informing the 2018 EULAR recommendations for physical activity in people with rheumatoid arthritis , spondyloarthritis and hip / knee osteoarthritis.</w:t>
      </w:r>
      <w:r w:rsidRPr="00706750">
        <w:rPr>
          <w:rFonts w:ascii="Times New Roman" w:hAnsi="Times New Roman" w:cs="Times New Roman"/>
          <w:noProof/>
          <w:sz w:val="20"/>
          <w:szCs w:val="24"/>
        </w:rPr>
        <w:t xml:space="preserve"> RMD Open. 2018;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22. </w:t>
      </w:r>
      <w:r w:rsidRPr="00706750">
        <w:rPr>
          <w:rFonts w:ascii="Times New Roman" w:hAnsi="Times New Roman" w:cs="Times New Roman"/>
          <w:noProof/>
          <w:sz w:val="20"/>
          <w:szCs w:val="24"/>
        </w:rPr>
        <w:tab/>
        <w:t xml:space="preserve">Khushtar M, Kumar V, Javed K, Bhandari U. Protective </w:t>
      </w:r>
      <w:r w:rsidRPr="00BD13C9">
        <w:rPr>
          <w:rFonts w:ascii="Times New Roman" w:hAnsi="Times New Roman" w:cs="Times New Roman"/>
          <w:i/>
          <w:noProof/>
          <w:sz w:val="20"/>
          <w:szCs w:val="24"/>
        </w:rPr>
        <w:t>Effect of Ginger oil on Aspirin and Pylorus Ligation-Induced Gastric Ulcer model in Rats.</w:t>
      </w:r>
      <w:r w:rsidRPr="00706750">
        <w:rPr>
          <w:rFonts w:ascii="Times New Roman" w:hAnsi="Times New Roman" w:cs="Times New Roman"/>
          <w:noProof/>
          <w:sz w:val="20"/>
          <w:szCs w:val="24"/>
        </w:rPr>
        <w:t xml:space="preserve"> 2015;71(5):554–8. Available from: http://www.ncbi.nlm.nih.gov/pmc/articles/PMC2866350/</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23. </w:t>
      </w:r>
      <w:r w:rsidRPr="00706750">
        <w:rPr>
          <w:rFonts w:ascii="Times New Roman" w:hAnsi="Times New Roman" w:cs="Times New Roman"/>
          <w:noProof/>
          <w:sz w:val="20"/>
          <w:szCs w:val="24"/>
        </w:rPr>
        <w:tab/>
        <w:t xml:space="preserve">Laurence DR, Bacharach AL. Evaluation of Drug Activities 1st edition. 1964.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24. </w:t>
      </w:r>
      <w:r w:rsidRPr="00706750">
        <w:rPr>
          <w:rFonts w:ascii="Times New Roman" w:hAnsi="Times New Roman" w:cs="Times New Roman"/>
          <w:noProof/>
          <w:sz w:val="20"/>
          <w:szCs w:val="24"/>
        </w:rPr>
        <w:tab/>
        <w:t>Jaya AS.</w:t>
      </w:r>
      <w:r w:rsidRPr="00BD13C9">
        <w:rPr>
          <w:rFonts w:ascii="Times New Roman" w:hAnsi="Times New Roman" w:cs="Times New Roman"/>
          <w:i/>
          <w:noProof/>
          <w:sz w:val="20"/>
          <w:szCs w:val="24"/>
        </w:rPr>
        <w:t xml:space="preserve"> Efek Antipiretik Infusum Batang Alang-Alang</w:t>
      </w:r>
      <w:r w:rsidRPr="00706750">
        <w:rPr>
          <w:rFonts w:ascii="Times New Roman" w:hAnsi="Times New Roman" w:cs="Times New Roman"/>
          <w:noProof/>
          <w:sz w:val="20"/>
          <w:szCs w:val="24"/>
        </w:rPr>
        <w:t xml:space="preserve">. 2007;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25. </w:t>
      </w:r>
      <w:r w:rsidRPr="00706750">
        <w:rPr>
          <w:rFonts w:ascii="Times New Roman" w:hAnsi="Times New Roman" w:cs="Times New Roman"/>
          <w:noProof/>
          <w:sz w:val="20"/>
          <w:szCs w:val="24"/>
        </w:rPr>
        <w:tab/>
        <w:t xml:space="preserve">Bendele AM. </w:t>
      </w:r>
      <w:r w:rsidRPr="00BD13C9">
        <w:rPr>
          <w:rFonts w:ascii="Times New Roman" w:hAnsi="Times New Roman" w:cs="Times New Roman"/>
          <w:i/>
          <w:noProof/>
          <w:sz w:val="20"/>
          <w:szCs w:val="24"/>
        </w:rPr>
        <w:t>Animal models of osteoarthritis</w:t>
      </w:r>
      <w:r w:rsidRPr="00706750">
        <w:rPr>
          <w:rFonts w:ascii="Times New Roman" w:hAnsi="Times New Roman" w:cs="Times New Roman"/>
          <w:noProof/>
          <w:sz w:val="20"/>
          <w:szCs w:val="24"/>
        </w:rPr>
        <w:t xml:space="preserve">. J Musculoskel Neuron Interact. 2001;1(4):363–76.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26. </w:t>
      </w:r>
      <w:r w:rsidRPr="00706750">
        <w:rPr>
          <w:rFonts w:ascii="Times New Roman" w:hAnsi="Times New Roman" w:cs="Times New Roman"/>
          <w:noProof/>
          <w:sz w:val="20"/>
          <w:szCs w:val="24"/>
        </w:rPr>
        <w:tab/>
      </w:r>
      <w:r w:rsidR="00BD13C9">
        <w:rPr>
          <w:rFonts w:ascii="Times New Roman" w:hAnsi="Times New Roman" w:cs="Times New Roman"/>
          <w:noProof/>
          <w:sz w:val="20"/>
          <w:szCs w:val="24"/>
        </w:rPr>
        <w:t xml:space="preserve">Kim EY, Moudgil KD. </w:t>
      </w:r>
      <w:r w:rsidR="00BD13C9">
        <w:rPr>
          <w:rFonts w:ascii="Times New Roman" w:hAnsi="Times New Roman" w:cs="Times New Roman"/>
          <w:i/>
          <w:noProof/>
          <w:sz w:val="20"/>
          <w:szCs w:val="24"/>
        </w:rPr>
        <w:t>T</w:t>
      </w:r>
      <w:r w:rsidRPr="00BD13C9">
        <w:rPr>
          <w:rFonts w:ascii="Times New Roman" w:hAnsi="Times New Roman" w:cs="Times New Roman"/>
          <w:i/>
          <w:noProof/>
          <w:sz w:val="20"/>
          <w:szCs w:val="24"/>
        </w:rPr>
        <w:t>he determinants of susceptibility / resistance to adjuvant arthritis in rats</w:t>
      </w:r>
      <w:r w:rsidRPr="00706750">
        <w:rPr>
          <w:rFonts w:ascii="Times New Roman" w:hAnsi="Times New Roman" w:cs="Times New Roman"/>
          <w:noProof/>
          <w:sz w:val="20"/>
          <w:szCs w:val="24"/>
        </w:rPr>
        <w:t xml:space="preserve">. 2009;9. </w:t>
      </w:r>
    </w:p>
    <w:p w:rsid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27. </w:t>
      </w:r>
      <w:r w:rsidRPr="00706750">
        <w:rPr>
          <w:rFonts w:ascii="Times New Roman" w:hAnsi="Times New Roman" w:cs="Times New Roman"/>
          <w:noProof/>
          <w:sz w:val="20"/>
          <w:szCs w:val="24"/>
        </w:rPr>
        <w:tab/>
        <w:t>Andari K, Normasari R, Hasan M. P</w:t>
      </w:r>
      <w:r w:rsidRPr="00BD13C9">
        <w:rPr>
          <w:rFonts w:ascii="Times New Roman" w:hAnsi="Times New Roman" w:cs="Times New Roman"/>
          <w:i/>
          <w:noProof/>
          <w:sz w:val="20"/>
          <w:szCs w:val="24"/>
        </w:rPr>
        <w:t xml:space="preserve">engaruh </w:t>
      </w:r>
      <w:r w:rsidRPr="00BD13C9">
        <w:rPr>
          <w:rFonts w:ascii="Times New Roman" w:hAnsi="Times New Roman" w:cs="Times New Roman"/>
          <w:i/>
          <w:noProof/>
          <w:sz w:val="20"/>
          <w:szCs w:val="24"/>
        </w:rPr>
        <w:lastRenderedPageBreak/>
        <w:t>Minyak Ikan Lemuru ( Sardinella longiceps ) terhadap Ekspresi Tumor Necrosis Factor ( TNF- α ) Kartilago yang diinduksi Complete Freund ’ s Adjuvant. e-Jurnal Pustaka Kesehat.</w:t>
      </w:r>
      <w:r w:rsidRPr="00706750">
        <w:rPr>
          <w:rFonts w:ascii="Times New Roman" w:hAnsi="Times New Roman" w:cs="Times New Roman"/>
          <w:noProof/>
          <w:sz w:val="20"/>
          <w:szCs w:val="24"/>
        </w:rPr>
        <w:t xml:space="preserve"> 2017;5(1):1–5.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28. </w:t>
      </w:r>
      <w:r w:rsidRPr="00706750">
        <w:rPr>
          <w:rFonts w:ascii="Times New Roman" w:hAnsi="Times New Roman" w:cs="Times New Roman"/>
          <w:noProof/>
          <w:sz w:val="20"/>
          <w:szCs w:val="24"/>
        </w:rPr>
        <w:tab/>
        <w:t xml:space="preserve">Clapier RV, Piquereau J. </w:t>
      </w:r>
      <w:r w:rsidRPr="00BD13C9">
        <w:rPr>
          <w:rFonts w:ascii="Times New Roman" w:hAnsi="Times New Roman" w:cs="Times New Roman"/>
          <w:i/>
          <w:noProof/>
          <w:sz w:val="20"/>
          <w:szCs w:val="24"/>
        </w:rPr>
        <w:t>Mitochondria : a central target for sex differences in pathologies.</w:t>
      </w:r>
      <w:r w:rsidRPr="00706750">
        <w:rPr>
          <w:rFonts w:ascii="Times New Roman" w:hAnsi="Times New Roman" w:cs="Times New Roman"/>
          <w:noProof/>
          <w:sz w:val="20"/>
          <w:szCs w:val="24"/>
        </w:rPr>
        <w:t xml:space="preserve"> 2017;(April 2018). </w:t>
      </w:r>
    </w:p>
    <w:p w:rsidR="00BF20BB" w:rsidRPr="00BF20BB" w:rsidRDefault="00706750" w:rsidP="00BD13C9">
      <w:pPr>
        <w:widowControl w:val="0"/>
        <w:autoSpaceDE w:val="0"/>
        <w:autoSpaceDN w:val="0"/>
        <w:adjustRightInd w:val="0"/>
        <w:spacing w:after="0" w:line="240" w:lineRule="auto"/>
        <w:ind w:left="709" w:hanging="709"/>
        <w:jc w:val="both"/>
        <w:rPr>
          <w:rFonts w:ascii="Times New Roman" w:hAnsi="Times New Roman" w:cs="Times New Roman"/>
          <w:noProof/>
          <w:sz w:val="20"/>
          <w:szCs w:val="20"/>
        </w:rPr>
      </w:pPr>
      <w:r w:rsidRPr="00706750">
        <w:rPr>
          <w:rFonts w:ascii="Times New Roman" w:hAnsi="Times New Roman" w:cs="Times New Roman"/>
          <w:noProof/>
          <w:sz w:val="20"/>
          <w:szCs w:val="24"/>
        </w:rPr>
        <w:t xml:space="preserve">29. </w:t>
      </w:r>
      <w:r w:rsidRPr="00706750">
        <w:rPr>
          <w:rFonts w:ascii="Times New Roman" w:hAnsi="Times New Roman" w:cs="Times New Roman"/>
          <w:noProof/>
          <w:sz w:val="20"/>
          <w:szCs w:val="24"/>
        </w:rPr>
        <w:tab/>
      </w:r>
      <w:r w:rsidR="00BD13C9">
        <w:rPr>
          <w:rFonts w:ascii="Times New Roman" w:hAnsi="Times New Roman" w:cs="Times New Roman"/>
          <w:noProof/>
          <w:sz w:val="20"/>
          <w:szCs w:val="20"/>
        </w:rPr>
        <w:t xml:space="preserve">Hasiibi, W. A. </w:t>
      </w:r>
      <w:r w:rsidR="00BF20BB" w:rsidRPr="00BF20BB">
        <w:rPr>
          <w:rFonts w:ascii="Times New Roman" w:hAnsi="Times New Roman" w:cs="Times New Roman"/>
          <w:noProof/>
          <w:sz w:val="20"/>
          <w:szCs w:val="20"/>
        </w:rPr>
        <w:t>‘</w:t>
      </w:r>
      <w:r w:rsidR="00BF20BB" w:rsidRPr="00BD13C9">
        <w:rPr>
          <w:rFonts w:ascii="Times New Roman" w:hAnsi="Times New Roman" w:cs="Times New Roman"/>
          <w:i/>
          <w:noProof/>
          <w:sz w:val="20"/>
          <w:szCs w:val="20"/>
        </w:rPr>
        <w:t>Prevalensi Dan Distribusi Osteoartritis Lutut Berdasarkan Karakteristik Sosio-Demografi Dan Faktor Risiko Di Wilayah Kerja Puskesmas Susut I, Kecamatan Susut, Kabupaten Bangli Pada Tahun 2014</w:t>
      </w:r>
      <w:r w:rsidR="00BF20BB" w:rsidRPr="00BF20BB">
        <w:rPr>
          <w:rFonts w:ascii="Times New Roman" w:hAnsi="Times New Roman" w:cs="Times New Roman"/>
          <w:noProof/>
          <w:sz w:val="20"/>
          <w:szCs w:val="20"/>
        </w:rPr>
        <w:t xml:space="preserve">’, </w:t>
      </w:r>
      <w:r w:rsidR="00BD13C9" w:rsidRPr="00BF20BB">
        <w:rPr>
          <w:rFonts w:ascii="Times New Roman" w:hAnsi="Times New Roman" w:cs="Times New Roman"/>
          <w:noProof/>
          <w:sz w:val="20"/>
          <w:szCs w:val="20"/>
        </w:rPr>
        <w:t xml:space="preserve">2014 </w:t>
      </w:r>
      <w:r w:rsidR="00BF20BB" w:rsidRPr="00BF20BB">
        <w:rPr>
          <w:rFonts w:ascii="Times New Roman" w:hAnsi="Times New Roman" w:cs="Times New Roman"/>
          <w:noProof/>
          <w:sz w:val="20"/>
          <w:szCs w:val="20"/>
        </w:rPr>
        <w:t>pp. 1–10.</w:t>
      </w:r>
    </w:p>
    <w:p w:rsidR="00706750" w:rsidRPr="00706750" w:rsidRDefault="00706750" w:rsidP="00BF20BB">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30. </w:t>
      </w:r>
      <w:r w:rsidRPr="00706750">
        <w:rPr>
          <w:rFonts w:ascii="Times New Roman" w:hAnsi="Times New Roman" w:cs="Times New Roman"/>
          <w:noProof/>
          <w:sz w:val="20"/>
          <w:szCs w:val="24"/>
        </w:rPr>
        <w:tab/>
        <w:t xml:space="preserve">L. Swagerty Daniel and Deborah Hellinger. </w:t>
      </w:r>
      <w:r w:rsidRPr="00BD13C9">
        <w:rPr>
          <w:rFonts w:ascii="Times New Roman" w:hAnsi="Times New Roman" w:cs="Times New Roman"/>
          <w:i/>
          <w:noProof/>
          <w:sz w:val="20"/>
          <w:szCs w:val="24"/>
        </w:rPr>
        <w:t>Radiographic Assessment of Osteoarthritis. Am Fam Physician.</w:t>
      </w:r>
      <w:r w:rsidRPr="00706750">
        <w:rPr>
          <w:rFonts w:ascii="Times New Roman" w:hAnsi="Times New Roman" w:cs="Times New Roman"/>
          <w:noProof/>
          <w:sz w:val="20"/>
          <w:szCs w:val="24"/>
        </w:rPr>
        <w:t xml:space="preserve"> 2001;64:279–86. </w:t>
      </w:r>
    </w:p>
    <w:p w:rsid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31. </w:t>
      </w:r>
      <w:r w:rsidRPr="00706750">
        <w:rPr>
          <w:rFonts w:ascii="Times New Roman" w:hAnsi="Times New Roman" w:cs="Times New Roman"/>
          <w:noProof/>
          <w:sz w:val="20"/>
          <w:szCs w:val="24"/>
        </w:rPr>
        <w:tab/>
        <w:t xml:space="preserve">Billiau A, Matthys P. </w:t>
      </w:r>
      <w:r w:rsidRPr="00BD13C9">
        <w:rPr>
          <w:rFonts w:ascii="Times New Roman" w:hAnsi="Times New Roman" w:cs="Times New Roman"/>
          <w:i/>
          <w:noProof/>
          <w:sz w:val="20"/>
          <w:szCs w:val="24"/>
        </w:rPr>
        <w:t xml:space="preserve">Modes of action of Freund ’ s adjuvants in experimental models of autoimmune diseases. </w:t>
      </w:r>
      <w:r w:rsidRPr="00706750">
        <w:rPr>
          <w:rFonts w:ascii="Times New Roman" w:hAnsi="Times New Roman" w:cs="Times New Roman"/>
          <w:noProof/>
          <w:sz w:val="20"/>
          <w:szCs w:val="24"/>
        </w:rPr>
        <w:t xml:space="preserve">2001;70(December):849–60. </w:t>
      </w:r>
    </w:p>
    <w:p w:rsidR="00B51DD9" w:rsidRPr="00706750" w:rsidRDefault="00B51DD9" w:rsidP="00B51DD9">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32. </w:t>
      </w:r>
      <w:r w:rsidRPr="00706750">
        <w:rPr>
          <w:rFonts w:ascii="Times New Roman" w:hAnsi="Times New Roman" w:cs="Times New Roman"/>
          <w:noProof/>
          <w:sz w:val="20"/>
          <w:szCs w:val="24"/>
        </w:rPr>
        <w:tab/>
        <w:t xml:space="preserve">Attur M, Krasnokutsky S, Statnikov A, Samuels J, Li Z, Friese O, et al. </w:t>
      </w:r>
      <w:r w:rsidRPr="00BD13C9">
        <w:rPr>
          <w:rFonts w:ascii="Times New Roman" w:hAnsi="Times New Roman" w:cs="Times New Roman"/>
          <w:i/>
          <w:noProof/>
          <w:sz w:val="20"/>
          <w:szCs w:val="24"/>
        </w:rPr>
        <w:t>Low-grade inflammation in symptomatic knee osteoarthritis: Prognostic value of inflammatory plasma lipids and peripheral blood leukocyte biomarkers. Arthritis Rheumatol</w:t>
      </w:r>
      <w:r w:rsidRPr="00706750">
        <w:rPr>
          <w:rFonts w:ascii="Times New Roman" w:hAnsi="Times New Roman" w:cs="Times New Roman"/>
          <w:noProof/>
          <w:sz w:val="20"/>
          <w:szCs w:val="24"/>
        </w:rPr>
        <w:t xml:space="preserve">. 2015;67(11):2905–15.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33. </w:t>
      </w:r>
      <w:r w:rsidRPr="00706750">
        <w:rPr>
          <w:rFonts w:ascii="Times New Roman" w:hAnsi="Times New Roman" w:cs="Times New Roman"/>
          <w:noProof/>
          <w:sz w:val="20"/>
          <w:szCs w:val="24"/>
        </w:rPr>
        <w:tab/>
        <w:t xml:space="preserve">Ribel-madsen S, Bartels EM, Stockmarr A, Borgwardt A, Cornett C, Danneskiold-samsøe B, et al. </w:t>
      </w:r>
      <w:r w:rsidRPr="00BD13C9">
        <w:rPr>
          <w:rFonts w:ascii="Times New Roman" w:hAnsi="Times New Roman" w:cs="Times New Roman"/>
          <w:i/>
          <w:noProof/>
          <w:sz w:val="20"/>
          <w:szCs w:val="24"/>
        </w:rPr>
        <w:t xml:space="preserve">A Synoviocyte Model for Osteoarthritis and Rheumatoid Arthritis : Response to Ibuprofen , Betamethasone , and Ginger Extract </w:t>
      </w:r>
      <w:r w:rsidRPr="00706750">
        <w:rPr>
          <w:rFonts w:ascii="Times New Roman" w:hAnsi="Times New Roman" w:cs="Times New Roman"/>
          <w:noProof/>
          <w:sz w:val="20"/>
          <w:szCs w:val="24"/>
        </w:rPr>
        <w:t xml:space="preserve">— A Cross-Sectional In Vitro Study. Vol. 2012. Denmark; 2012.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34. </w:t>
      </w:r>
      <w:r w:rsidRPr="00706750">
        <w:rPr>
          <w:rFonts w:ascii="Times New Roman" w:hAnsi="Times New Roman" w:cs="Times New Roman"/>
          <w:noProof/>
          <w:sz w:val="20"/>
          <w:szCs w:val="24"/>
        </w:rPr>
        <w:tab/>
        <w:t xml:space="preserve">Bartels EM, Folmer VN, Bliddal H, Altman RD, Juhl C, Tarp S, et al. </w:t>
      </w:r>
      <w:r w:rsidRPr="00BD13C9">
        <w:rPr>
          <w:rFonts w:ascii="Times New Roman" w:hAnsi="Times New Roman" w:cs="Times New Roman"/>
          <w:i/>
          <w:noProof/>
          <w:sz w:val="20"/>
          <w:szCs w:val="24"/>
        </w:rPr>
        <w:t>Efficacy and safety of ginger in osteoarthritis patients : a meta-analysis of randomized placebo-controlled trials. Osteoarthr Cartil</w:t>
      </w:r>
      <w:r w:rsidRPr="00706750">
        <w:rPr>
          <w:rFonts w:ascii="Times New Roman" w:hAnsi="Times New Roman" w:cs="Times New Roman"/>
          <w:noProof/>
          <w:sz w:val="20"/>
          <w:szCs w:val="24"/>
        </w:rPr>
        <w:t xml:space="preserve"> [Internet]. 2015;23(1):13–21. Available from: http://dx.doi.org/10.1016/j.joca.2014.09.024</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706750">
        <w:rPr>
          <w:rFonts w:ascii="Times New Roman" w:hAnsi="Times New Roman" w:cs="Times New Roman"/>
          <w:noProof/>
          <w:sz w:val="20"/>
          <w:szCs w:val="24"/>
        </w:rPr>
        <w:t xml:space="preserve">35. </w:t>
      </w:r>
      <w:r w:rsidRPr="00706750">
        <w:rPr>
          <w:rFonts w:ascii="Times New Roman" w:hAnsi="Times New Roman" w:cs="Times New Roman"/>
          <w:noProof/>
          <w:sz w:val="20"/>
          <w:szCs w:val="24"/>
        </w:rPr>
        <w:tab/>
        <w:t xml:space="preserve">Dhianawaty D, Farmasi F, Halu U, Kendari O. </w:t>
      </w:r>
      <w:r w:rsidRPr="00BD13C9">
        <w:rPr>
          <w:rFonts w:ascii="Times New Roman" w:hAnsi="Times New Roman" w:cs="Times New Roman"/>
          <w:i/>
          <w:noProof/>
          <w:sz w:val="20"/>
          <w:szCs w:val="24"/>
        </w:rPr>
        <w:t>Kandungan Total Polifenol dan Aktivitas Antioksidan dari Ekstrak Metanol Akar Imperata cylindrica ( L ) Beauv . ( Alang-alang ) Total Polyphenol Content and Antioxidant Activity of Methanol Extract of Imperata cylindrica ( L ) Beauv . ( Alang-alang ) Root.</w:t>
      </w:r>
      <w:r w:rsidRPr="00706750">
        <w:rPr>
          <w:rFonts w:ascii="Times New Roman" w:hAnsi="Times New Roman" w:cs="Times New Roman"/>
          <w:noProof/>
          <w:sz w:val="20"/>
          <w:szCs w:val="24"/>
        </w:rPr>
        <w:t xml:space="preserve"> Dep biokimia dan biomolekular Fak Kedokt Univ padjadjaran bandung. 2014;47(1). </w:t>
      </w:r>
    </w:p>
    <w:p w:rsidR="00706750" w:rsidRPr="00706750" w:rsidRDefault="00706750" w:rsidP="00706750">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706750">
        <w:rPr>
          <w:rFonts w:ascii="Times New Roman" w:hAnsi="Times New Roman" w:cs="Times New Roman"/>
          <w:noProof/>
          <w:sz w:val="20"/>
          <w:szCs w:val="24"/>
        </w:rPr>
        <w:t xml:space="preserve">36. </w:t>
      </w:r>
      <w:r w:rsidRPr="00706750">
        <w:rPr>
          <w:rFonts w:ascii="Times New Roman" w:hAnsi="Times New Roman" w:cs="Times New Roman"/>
          <w:noProof/>
          <w:sz w:val="20"/>
          <w:szCs w:val="24"/>
        </w:rPr>
        <w:tab/>
        <w:t xml:space="preserve">Sherwood L. Introduction to Human Physiology: From Cell to System. 2014;1. </w:t>
      </w:r>
    </w:p>
    <w:p w:rsidR="00354820" w:rsidRPr="006F4ECB" w:rsidRDefault="002B6552" w:rsidP="00706750">
      <w:pPr>
        <w:spacing w:after="0" w:line="240" w:lineRule="auto"/>
        <w:jc w:val="both"/>
        <w:rPr>
          <w:rFonts w:ascii="Times New Roman" w:hAnsi="Times New Roman" w:cs="Times New Roman"/>
          <w:b/>
          <w:sz w:val="20"/>
          <w:szCs w:val="20"/>
        </w:rPr>
      </w:pPr>
      <w:r w:rsidRPr="006F4ECB">
        <w:rPr>
          <w:rFonts w:ascii="Times New Roman" w:hAnsi="Times New Roman" w:cs="Times New Roman"/>
          <w:b/>
          <w:sz w:val="20"/>
          <w:szCs w:val="20"/>
        </w:rPr>
        <w:fldChar w:fldCharType="end"/>
      </w:r>
      <w:bookmarkStart w:id="0" w:name="_GoBack"/>
      <w:bookmarkEnd w:id="0"/>
    </w:p>
    <w:sectPr w:rsidR="00354820" w:rsidRPr="006F4ECB" w:rsidSect="003D2BB4">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407" w:rsidRDefault="00806407" w:rsidP="00E473AF">
      <w:pPr>
        <w:spacing w:after="0" w:line="240" w:lineRule="auto"/>
      </w:pPr>
      <w:r>
        <w:separator/>
      </w:r>
    </w:p>
  </w:endnote>
  <w:endnote w:type="continuationSeparator" w:id="0">
    <w:p w:rsidR="00806407" w:rsidRDefault="00806407" w:rsidP="00E4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832501"/>
      <w:docPartObj>
        <w:docPartGallery w:val="Page Numbers (Bottom of Page)"/>
        <w:docPartUnique/>
      </w:docPartObj>
    </w:sdtPr>
    <w:sdtEndPr>
      <w:rPr>
        <w:noProof/>
      </w:rPr>
    </w:sdtEndPr>
    <w:sdtContent>
      <w:p w:rsidR="00E473AF" w:rsidRDefault="00E473AF">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p w:rsidR="00E473AF" w:rsidRDefault="00E47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407" w:rsidRDefault="00806407" w:rsidP="00E473AF">
      <w:pPr>
        <w:spacing w:after="0" w:line="240" w:lineRule="auto"/>
      </w:pPr>
      <w:r>
        <w:separator/>
      </w:r>
    </w:p>
  </w:footnote>
  <w:footnote w:type="continuationSeparator" w:id="0">
    <w:p w:rsidR="00806407" w:rsidRDefault="00806407" w:rsidP="00E47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1D5D64"/>
    <w:multiLevelType w:val="hybridMultilevel"/>
    <w:tmpl w:val="4072A9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DB"/>
    <w:rsid w:val="00033D1C"/>
    <w:rsid w:val="00065120"/>
    <w:rsid w:val="0010064E"/>
    <w:rsid w:val="00136507"/>
    <w:rsid w:val="00227C39"/>
    <w:rsid w:val="00266690"/>
    <w:rsid w:val="002A6BC1"/>
    <w:rsid w:val="002B6552"/>
    <w:rsid w:val="003242F0"/>
    <w:rsid w:val="00354820"/>
    <w:rsid w:val="003A038F"/>
    <w:rsid w:val="003A5FB5"/>
    <w:rsid w:val="003D2BB4"/>
    <w:rsid w:val="004D2392"/>
    <w:rsid w:val="004F6360"/>
    <w:rsid w:val="00520D6F"/>
    <w:rsid w:val="005531DB"/>
    <w:rsid w:val="005577FC"/>
    <w:rsid w:val="005843BD"/>
    <w:rsid w:val="005C0C29"/>
    <w:rsid w:val="005C4FE2"/>
    <w:rsid w:val="00686FF2"/>
    <w:rsid w:val="00687E64"/>
    <w:rsid w:val="006F4ECB"/>
    <w:rsid w:val="00706750"/>
    <w:rsid w:val="00806407"/>
    <w:rsid w:val="00826A87"/>
    <w:rsid w:val="00837297"/>
    <w:rsid w:val="00864E26"/>
    <w:rsid w:val="008832B7"/>
    <w:rsid w:val="008A6268"/>
    <w:rsid w:val="008B2125"/>
    <w:rsid w:val="00934A15"/>
    <w:rsid w:val="00980B93"/>
    <w:rsid w:val="009B2AD1"/>
    <w:rsid w:val="00A16A1D"/>
    <w:rsid w:val="00A42B92"/>
    <w:rsid w:val="00B51DD9"/>
    <w:rsid w:val="00B624A0"/>
    <w:rsid w:val="00BD13C9"/>
    <w:rsid w:val="00BF20BB"/>
    <w:rsid w:val="00CC110F"/>
    <w:rsid w:val="00CF0B62"/>
    <w:rsid w:val="00D047E5"/>
    <w:rsid w:val="00D3691B"/>
    <w:rsid w:val="00D42143"/>
    <w:rsid w:val="00D60E6E"/>
    <w:rsid w:val="00D65A94"/>
    <w:rsid w:val="00E27F48"/>
    <w:rsid w:val="00E45BE3"/>
    <w:rsid w:val="00E473AF"/>
    <w:rsid w:val="00E61EA1"/>
    <w:rsid w:val="00EB4205"/>
    <w:rsid w:val="00EF0C53"/>
    <w:rsid w:val="00F17152"/>
    <w:rsid w:val="00F26711"/>
    <w:rsid w:val="00F908F5"/>
    <w:rsid w:val="00FE5F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5E3ED-2447-434A-9E4A-0A6F2132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5531DB"/>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531D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0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B62"/>
    <w:rPr>
      <w:rFonts w:ascii="Segoe UI" w:hAnsi="Segoe UI" w:cs="Segoe UI"/>
      <w:sz w:val="18"/>
      <w:szCs w:val="18"/>
    </w:rPr>
  </w:style>
  <w:style w:type="paragraph" w:styleId="ListParagraph">
    <w:name w:val="List Paragraph"/>
    <w:basedOn w:val="Normal"/>
    <w:uiPriority w:val="34"/>
    <w:qFormat/>
    <w:rsid w:val="00864E26"/>
    <w:pPr>
      <w:ind w:left="720"/>
      <w:contextualSpacing/>
    </w:pPr>
  </w:style>
  <w:style w:type="character" w:styleId="Hyperlink">
    <w:name w:val="Hyperlink"/>
    <w:basedOn w:val="DefaultParagraphFont"/>
    <w:uiPriority w:val="99"/>
    <w:unhideWhenUsed/>
    <w:rsid w:val="00EF0C53"/>
    <w:rPr>
      <w:color w:val="0563C1" w:themeColor="hyperlink"/>
      <w:u w:val="single"/>
    </w:rPr>
  </w:style>
  <w:style w:type="paragraph" w:styleId="Header">
    <w:name w:val="header"/>
    <w:basedOn w:val="Normal"/>
    <w:link w:val="HeaderChar"/>
    <w:uiPriority w:val="99"/>
    <w:unhideWhenUsed/>
    <w:rsid w:val="00E4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3AF"/>
  </w:style>
  <w:style w:type="paragraph" w:styleId="Footer">
    <w:name w:val="footer"/>
    <w:basedOn w:val="Normal"/>
    <w:link w:val="FooterChar"/>
    <w:uiPriority w:val="99"/>
    <w:unhideWhenUsed/>
    <w:rsid w:val="00E4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auri1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hma.auri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EEF76-9C8B-433A-B0EC-34F0C207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14552</Words>
  <Characters>82948</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rosyad</cp:lastModifiedBy>
  <cp:revision>8</cp:revision>
  <cp:lastPrinted>2019-07-03T15:57:00Z</cp:lastPrinted>
  <dcterms:created xsi:type="dcterms:W3CDTF">2019-07-17T02:02:00Z</dcterms:created>
  <dcterms:modified xsi:type="dcterms:W3CDTF">2019-07-26T06:31:00Z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27e8ee64-edd9-31bf-b544-f8b7d037fce8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