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CEA42" w14:textId="512D86AF" w:rsidR="0011724A" w:rsidRDefault="00207CF3" w:rsidP="00207CF3">
      <w:pPr>
        <w:spacing w:after="0" w:line="240" w:lineRule="auto"/>
        <w:jc w:val="center"/>
        <w:rPr>
          <w:rFonts w:ascii="Cambria" w:eastAsia="Cambria" w:hAnsi="Cambria" w:cs="Cambria"/>
          <w:b/>
          <w:sz w:val="24"/>
          <w:szCs w:val="24"/>
        </w:rPr>
      </w:pPr>
      <w:r>
        <w:rPr>
          <w:rFonts w:ascii="Cambria" w:eastAsia="Cambria" w:hAnsi="Cambria" w:cs="Cambria"/>
          <w:b/>
          <w:sz w:val="24"/>
          <w:szCs w:val="24"/>
        </w:rPr>
        <w:t>ANALISIS YURIDIS TERHADAP PERTIMBANGAN HAKIM DALAM PEMENUHAN NAFKAH IDDAH, MUT’AH, DAN HADHANAH PASCA CERAI GUGAT (Studi Kasus Putusan Nomor 1096/Pdt.G/2025/PA.Pas.)</w:t>
      </w:r>
    </w:p>
    <w:p w14:paraId="4043A6CA" w14:textId="77777777" w:rsidR="0011724A" w:rsidRDefault="0011724A" w:rsidP="00207CF3">
      <w:pPr>
        <w:spacing w:after="0" w:line="240" w:lineRule="auto"/>
        <w:rPr>
          <w:rFonts w:ascii="Cambria" w:eastAsia="Cambria" w:hAnsi="Cambria" w:cs="Cambria"/>
          <w:sz w:val="24"/>
          <w:szCs w:val="24"/>
        </w:rPr>
      </w:pPr>
    </w:p>
    <w:p w14:paraId="7E6271CA" w14:textId="50DE0AE7" w:rsidR="0011724A" w:rsidRPr="00644121" w:rsidRDefault="003B0EDA">
      <w:pPr>
        <w:spacing w:after="0" w:line="240" w:lineRule="auto"/>
        <w:jc w:val="center"/>
        <w:rPr>
          <w:rFonts w:ascii="Cambria" w:eastAsia="Cambria" w:hAnsi="Cambria" w:cs="Cambria"/>
          <w:sz w:val="24"/>
          <w:szCs w:val="24"/>
          <w:vertAlign w:val="superscript"/>
        </w:rPr>
      </w:pPr>
      <w:r>
        <w:rPr>
          <w:rFonts w:ascii="Cambria" w:eastAsia="Cambria" w:hAnsi="Cambria" w:cs="Cambria"/>
          <w:sz w:val="24"/>
          <w:szCs w:val="24"/>
          <w:vertAlign w:val="superscript"/>
        </w:rPr>
        <w:t>1</w:t>
      </w:r>
      <w:r w:rsidR="001D2F3D">
        <w:rPr>
          <w:rFonts w:ascii="Cambria" w:eastAsia="Cambria" w:hAnsi="Cambria" w:cs="Cambria"/>
          <w:sz w:val="24"/>
          <w:szCs w:val="24"/>
        </w:rPr>
        <w:t>Muhammad Nur Ramadhan</w:t>
      </w:r>
      <w:r w:rsidR="00644121">
        <w:rPr>
          <w:rFonts w:ascii="Cambria" w:eastAsia="Cambria" w:hAnsi="Cambria" w:cs="Cambria"/>
          <w:sz w:val="24"/>
          <w:szCs w:val="24"/>
        </w:rPr>
        <w:t xml:space="preserve">, </w:t>
      </w:r>
      <w:r>
        <w:rPr>
          <w:rFonts w:ascii="Cambria" w:eastAsia="Cambria" w:hAnsi="Cambria" w:cs="Cambria"/>
          <w:sz w:val="24"/>
          <w:szCs w:val="24"/>
          <w:vertAlign w:val="superscript"/>
        </w:rPr>
        <w:t>2</w:t>
      </w:r>
      <w:r w:rsidR="00174D3E">
        <w:rPr>
          <w:rFonts w:ascii="Cambria" w:eastAsia="Cambria" w:hAnsi="Cambria" w:cs="Cambria"/>
          <w:sz w:val="24"/>
          <w:szCs w:val="24"/>
        </w:rPr>
        <w:t>A</w:t>
      </w:r>
      <w:r w:rsidR="001D2F3D">
        <w:rPr>
          <w:rFonts w:ascii="Cambria" w:eastAsia="Cambria" w:hAnsi="Cambria" w:cs="Cambria"/>
          <w:sz w:val="24"/>
          <w:szCs w:val="24"/>
        </w:rPr>
        <w:t>bdul Wafi</w:t>
      </w:r>
      <w:r w:rsidR="00644121">
        <w:rPr>
          <w:rFonts w:ascii="Cambria" w:eastAsia="Cambria" w:hAnsi="Cambria" w:cs="Cambria"/>
          <w:sz w:val="24"/>
          <w:szCs w:val="24"/>
        </w:rPr>
        <w:t xml:space="preserve">, </w:t>
      </w:r>
      <w:r>
        <w:rPr>
          <w:rFonts w:ascii="Cambria" w:eastAsia="Cambria" w:hAnsi="Cambria" w:cs="Cambria"/>
          <w:sz w:val="24"/>
          <w:szCs w:val="24"/>
          <w:vertAlign w:val="superscript"/>
        </w:rPr>
        <w:t>3</w:t>
      </w:r>
      <w:r w:rsidR="001D2F3D">
        <w:rPr>
          <w:rFonts w:ascii="Cambria" w:eastAsia="Cambria" w:hAnsi="Cambria" w:cs="Cambria"/>
          <w:sz w:val="24"/>
          <w:szCs w:val="24"/>
        </w:rPr>
        <w:t>Khoirul Asfiyak</w:t>
      </w:r>
    </w:p>
    <w:p w14:paraId="21B44D7E" w14:textId="77777777" w:rsidR="0011724A" w:rsidRPr="003B0EDA" w:rsidRDefault="003B0EDA" w:rsidP="003B0EDA">
      <w:pPr>
        <w:spacing w:after="0" w:line="240" w:lineRule="auto"/>
        <w:jc w:val="center"/>
        <w:rPr>
          <w:rFonts w:ascii="Cambria" w:eastAsia="Cambria" w:hAnsi="Cambria" w:cs="Cambria"/>
          <w:sz w:val="24"/>
          <w:szCs w:val="24"/>
        </w:rPr>
      </w:pPr>
      <w:r>
        <w:rPr>
          <w:rFonts w:ascii="Cambria" w:eastAsia="Cambria" w:hAnsi="Cambria" w:cs="Cambria"/>
          <w:sz w:val="24"/>
          <w:szCs w:val="24"/>
        </w:rPr>
        <w:t>Universitas Islam Malang</w:t>
      </w:r>
    </w:p>
    <w:p w14:paraId="1D0D9F09" w14:textId="23A92549" w:rsidR="00FE09FB" w:rsidRPr="00FE09FB" w:rsidRDefault="00FE09FB" w:rsidP="00FE09FB">
      <w:pPr>
        <w:spacing w:after="20" w:line="236" w:lineRule="auto"/>
        <w:jc w:val="center"/>
        <w:rPr>
          <w:rFonts w:ascii="Cambria" w:eastAsia="Cambria" w:hAnsi="Cambria" w:cs="Cambria"/>
          <w:color w:val="000000"/>
          <w:kern w:val="2"/>
          <w:sz w:val="24"/>
          <w:szCs w:val="24"/>
          <w14:ligatures w14:val="standardContextual"/>
        </w:rPr>
      </w:pPr>
      <w:r w:rsidRPr="00FE09FB">
        <w:rPr>
          <w:rFonts w:ascii="Cambria" w:eastAsia="Cambria" w:hAnsi="Cambria" w:cs="Cambria"/>
          <w:color w:val="000000"/>
          <w:kern w:val="2"/>
          <w:sz w:val="24"/>
          <w:szCs w:val="24"/>
          <w14:ligatures w14:val="standardContextual"/>
        </w:rPr>
        <w:t xml:space="preserve">e-mail: </w:t>
      </w:r>
      <w:r w:rsidRPr="00FE09FB">
        <w:rPr>
          <w:rFonts w:ascii="Cambria" w:eastAsia="Cambria" w:hAnsi="Cambria" w:cs="Cambria"/>
          <w:color w:val="0000FF"/>
          <w:kern w:val="2"/>
          <w:sz w:val="24"/>
          <w:szCs w:val="24"/>
          <w:vertAlign w:val="superscript"/>
          <w14:ligatures w14:val="standardContextual"/>
        </w:rPr>
        <w:t>1</w:t>
      </w:r>
      <w:r w:rsidRPr="00FE09FB">
        <w:rPr>
          <w:rFonts w:ascii="Cambria" w:eastAsia="Cambria" w:hAnsi="Cambria" w:cs="Cambria"/>
          <w:color w:val="0000FF"/>
          <w:kern w:val="2"/>
          <w:sz w:val="24"/>
          <w:szCs w:val="24"/>
          <w:u w:val="single" w:color="0000FF"/>
          <w14:ligatures w14:val="standardContextual"/>
        </w:rPr>
        <w:t>22</w:t>
      </w:r>
      <w:r w:rsidR="001D2F3D">
        <w:rPr>
          <w:rFonts w:ascii="Cambria" w:eastAsia="Cambria" w:hAnsi="Cambria" w:cs="Cambria"/>
          <w:color w:val="0000FF"/>
          <w:kern w:val="2"/>
          <w:sz w:val="24"/>
          <w:szCs w:val="24"/>
          <w:u w:val="single" w:color="0000FF"/>
          <w14:ligatures w14:val="standardContextual"/>
        </w:rPr>
        <w:t>201012054</w:t>
      </w:r>
      <w:r w:rsidRPr="00FE09FB">
        <w:rPr>
          <w:rFonts w:ascii="Cambria" w:eastAsia="Cambria" w:hAnsi="Cambria" w:cs="Cambria"/>
          <w:color w:val="0000FF"/>
          <w:kern w:val="2"/>
          <w:sz w:val="24"/>
          <w:szCs w:val="24"/>
          <w:u w:val="single" w:color="0000FF"/>
          <w14:ligatures w14:val="standardContextual"/>
        </w:rPr>
        <w:t>@unisma.ac.id</w:t>
      </w:r>
      <w:r w:rsidRPr="00FE09FB">
        <w:rPr>
          <w:rFonts w:ascii="Cambria" w:eastAsia="Cambria" w:hAnsi="Cambria" w:cs="Cambria"/>
          <w:color w:val="000000"/>
          <w:kern w:val="2"/>
          <w:sz w:val="24"/>
          <w:szCs w:val="24"/>
          <w14:ligatures w14:val="standardContextual"/>
        </w:rPr>
        <w:t xml:space="preserve"> , </w:t>
      </w:r>
      <w:r w:rsidRPr="00FE09FB">
        <w:rPr>
          <w:rFonts w:ascii="Cambria" w:eastAsia="Cambria" w:hAnsi="Cambria" w:cs="Cambria"/>
          <w:color w:val="0000FF"/>
          <w:kern w:val="2"/>
          <w:sz w:val="24"/>
          <w:szCs w:val="24"/>
          <w:vertAlign w:val="superscript"/>
          <w14:ligatures w14:val="standardContextual"/>
        </w:rPr>
        <w:t>2</w:t>
      </w:r>
      <w:r w:rsidR="00174D3E">
        <w:rPr>
          <w:rFonts w:ascii="Cambria" w:eastAsia="Cambria" w:hAnsi="Cambria" w:cs="Cambria"/>
          <w:color w:val="0000FF"/>
          <w:kern w:val="2"/>
          <w:sz w:val="24"/>
          <w:szCs w:val="24"/>
          <w:u w:val="single" w:color="0000FF"/>
          <w14:ligatures w14:val="standardContextual"/>
        </w:rPr>
        <w:t>a</w:t>
      </w:r>
      <w:r w:rsidR="001D2F3D">
        <w:rPr>
          <w:rFonts w:ascii="Cambria" w:eastAsia="Cambria" w:hAnsi="Cambria" w:cs="Cambria"/>
          <w:color w:val="0000FF"/>
          <w:kern w:val="2"/>
          <w:sz w:val="24"/>
          <w:szCs w:val="24"/>
          <w:u w:val="single" w:color="0000FF"/>
          <w14:ligatures w14:val="standardContextual"/>
        </w:rPr>
        <w:t>bdulwafi</w:t>
      </w:r>
      <w:r w:rsidR="003B0EDA">
        <w:rPr>
          <w:rFonts w:ascii="Cambria" w:eastAsia="Cambria" w:hAnsi="Cambria" w:cs="Cambria"/>
          <w:color w:val="0000FF"/>
          <w:kern w:val="2"/>
          <w:sz w:val="24"/>
          <w:szCs w:val="24"/>
          <w:u w:val="single" w:color="0000FF"/>
          <w14:ligatures w14:val="standardContextual"/>
        </w:rPr>
        <w:t>@unisma.ac.id</w:t>
      </w:r>
      <w:r w:rsidRPr="00FE09FB">
        <w:rPr>
          <w:rFonts w:ascii="Cambria" w:eastAsia="Cambria" w:hAnsi="Cambria" w:cs="Cambria"/>
          <w:color w:val="0000FF"/>
          <w:kern w:val="2"/>
          <w:sz w:val="24"/>
          <w:szCs w:val="24"/>
          <w:u w:val="single" w:color="0000FF"/>
          <w14:ligatures w14:val="standardContextual"/>
        </w:rPr>
        <w:t xml:space="preserve"> </w:t>
      </w:r>
      <w:r w:rsidRPr="00FE09FB">
        <w:rPr>
          <w:rFonts w:ascii="Cambria" w:eastAsia="Cambria" w:hAnsi="Cambria" w:cs="Cambria"/>
          <w:color w:val="000000"/>
          <w:kern w:val="2"/>
          <w:sz w:val="24"/>
          <w:szCs w:val="24"/>
          <w14:ligatures w14:val="standardContextual"/>
        </w:rPr>
        <w:t xml:space="preserve">, </w:t>
      </w:r>
      <w:r w:rsidR="001D2F3D">
        <w:rPr>
          <w:rFonts w:ascii="Cambria" w:eastAsia="Cambria" w:hAnsi="Cambria" w:cs="Cambria"/>
          <w:color w:val="0000FF"/>
          <w:kern w:val="2"/>
          <w:sz w:val="24"/>
          <w:szCs w:val="24"/>
          <w:vertAlign w:val="superscript"/>
          <w14:ligatures w14:val="standardContextual"/>
        </w:rPr>
        <w:t>3</w:t>
      </w:r>
      <w:r w:rsidR="001D2F3D">
        <w:rPr>
          <w:rFonts w:ascii="Cambria" w:eastAsia="Cambria" w:hAnsi="Cambria" w:cs="Cambria"/>
          <w:color w:val="0000FF"/>
          <w:kern w:val="2"/>
          <w:sz w:val="24"/>
          <w:szCs w:val="24"/>
          <w:u w:val="single" w:color="0000FF"/>
          <w14:ligatures w14:val="standardContextual"/>
        </w:rPr>
        <w:t>khoirulasfiyak</w:t>
      </w:r>
      <w:r w:rsidRPr="00FE09FB">
        <w:rPr>
          <w:rFonts w:ascii="Cambria" w:eastAsia="Cambria" w:hAnsi="Cambria" w:cs="Cambria"/>
          <w:color w:val="0000FF"/>
          <w:kern w:val="2"/>
          <w:sz w:val="24"/>
          <w:szCs w:val="24"/>
          <w:u w:val="single" w:color="0000FF"/>
          <w14:ligatures w14:val="standardContextual"/>
        </w:rPr>
        <w:t>@unisma.ac.id.</w:t>
      </w:r>
      <w:r w:rsidRPr="00FE09FB">
        <w:rPr>
          <w:rFonts w:ascii="Cambria" w:eastAsia="Cambria" w:hAnsi="Cambria" w:cs="Cambria"/>
          <w:color w:val="0000FF"/>
          <w:kern w:val="2"/>
          <w:sz w:val="24"/>
          <w:szCs w:val="24"/>
          <w14:ligatures w14:val="standardContextual"/>
        </w:rPr>
        <w:t xml:space="preserve"> </w:t>
      </w:r>
      <w:r w:rsidRPr="00FE09FB">
        <w:rPr>
          <w:rFonts w:ascii="Cambria" w:eastAsia="Cambria" w:hAnsi="Cambria" w:cs="Cambria"/>
          <w:color w:val="000000"/>
          <w:kern w:val="2"/>
          <w:sz w:val="24"/>
          <w:szCs w:val="24"/>
          <w14:ligatures w14:val="standardContextual"/>
        </w:rPr>
        <w:t xml:space="preserve"> </w:t>
      </w:r>
    </w:p>
    <w:p w14:paraId="06DB24A3" w14:textId="77777777" w:rsidR="0011724A" w:rsidRDefault="0011724A">
      <w:pPr>
        <w:spacing w:after="0" w:line="240" w:lineRule="auto"/>
        <w:rPr>
          <w:rFonts w:ascii="Cambria" w:eastAsia="Cambria" w:hAnsi="Cambria" w:cs="Cambria"/>
          <w:sz w:val="24"/>
          <w:szCs w:val="24"/>
        </w:rPr>
      </w:pPr>
    </w:p>
    <w:p w14:paraId="20193046" w14:textId="72293DAB" w:rsidR="0011724A" w:rsidRPr="00D83851" w:rsidRDefault="007600A6">
      <w:pPr>
        <w:spacing w:after="0" w:line="240" w:lineRule="auto"/>
        <w:jc w:val="center"/>
        <w:rPr>
          <w:rFonts w:ascii="Cambria" w:eastAsia="Cambria" w:hAnsi="Cambria" w:cs="Cambria"/>
          <w:b/>
          <w:sz w:val="24"/>
          <w:szCs w:val="24"/>
          <w:lang w:val="en-US"/>
        </w:rPr>
      </w:pPr>
      <w:r>
        <w:rPr>
          <w:rFonts w:ascii="Cambria" w:eastAsia="Cambria" w:hAnsi="Cambria" w:cs="Cambria"/>
          <w:b/>
          <w:sz w:val="24"/>
          <w:szCs w:val="24"/>
        </w:rPr>
        <w:t>Abstra</w:t>
      </w:r>
      <w:r w:rsidR="00D83851">
        <w:rPr>
          <w:rFonts w:ascii="Cambria" w:eastAsia="Cambria" w:hAnsi="Cambria" w:cs="Cambria"/>
          <w:b/>
          <w:sz w:val="24"/>
          <w:szCs w:val="24"/>
          <w:lang w:val="en-US"/>
        </w:rPr>
        <w:t>ct</w:t>
      </w:r>
    </w:p>
    <w:p w14:paraId="51D15F88" w14:textId="4C6430BE" w:rsidR="001D2F3D" w:rsidRPr="00011633" w:rsidRDefault="001D2F3D" w:rsidP="001D2F3D">
      <w:pPr>
        <w:spacing w:after="0" w:line="240" w:lineRule="auto"/>
        <w:jc w:val="both"/>
        <w:rPr>
          <w:rFonts w:ascii="Cambria" w:eastAsia="Cambria" w:hAnsi="Cambria" w:cs="Cambria"/>
          <w:i/>
          <w:iCs/>
          <w:sz w:val="24"/>
          <w:szCs w:val="24"/>
        </w:rPr>
      </w:pPr>
      <w:r w:rsidRPr="00011633">
        <w:rPr>
          <w:rFonts w:ascii="Cambria" w:hAnsi="Cambria"/>
          <w:i/>
          <w:iCs/>
          <w:sz w:val="24"/>
          <w:szCs w:val="24"/>
        </w:rPr>
        <w:t>This study examines the judicial reasoning applied by judges in fulfilling post-divorce rights</w:t>
      </w:r>
      <w:r w:rsidR="00D83851">
        <w:rPr>
          <w:rFonts w:ascii="Cambria" w:hAnsi="Cambria"/>
          <w:i/>
          <w:iCs/>
          <w:sz w:val="24"/>
          <w:szCs w:val="24"/>
        </w:rPr>
        <w:t>,</w:t>
      </w:r>
      <w:r w:rsidRPr="00011633">
        <w:rPr>
          <w:rFonts w:ascii="Cambria" w:hAnsi="Cambria"/>
          <w:i/>
          <w:iCs/>
          <w:sz w:val="24"/>
          <w:szCs w:val="24"/>
        </w:rPr>
        <w:t xml:space="preserve"> namely iddah maintenance, mut’ah, and child custody (hadhanah) in divorce by lawsuit cases, focusing on Decision Number 1096/Pdt.G/2025/PA.</w:t>
      </w:r>
      <w:r w:rsidR="00D83851">
        <w:rPr>
          <w:rFonts w:ascii="Cambria" w:hAnsi="Cambria"/>
          <w:i/>
          <w:iCs/>
          <w:sz w:val="24"/>
          <w:szCs w:val="24"/>
        </w:rPr>
        <w:t>Part</w:t>
      </w:r>
      <w:r w:rsidRPr="00011633">
        <w:rPr>
          <w:rFonts w:ascii="Cambria" w:hAnsi="Cambria"/>
          <w:i/>
          <w:iCs/>
          <w:sz w:val="24"/>
          <w:szCs w:val="24"/>
        </w:rPr>
        <w:t xml:space="preserve"> of the Pasuruan Religious Court. The research addresses the normative gap between Islamic legal provisions and judicial practice, particularly the tendency to omit iddah and mut’ah obligations when divorce is initiated by the wife. Positioned within normative legal scholarship, this study employs a case-based doctrinal approach by analyzing court decisions, statutory regulations, and relevant Islamic legal principles, including the Compilation of Islamic Law and maqāṣid al-sharīʿah. The findings reveal that the panel of judges did not base their decision solely on the procedural status of divorce by lawsuit, but rather considered juridical and factual aspects such as the economic capacity of the husband, the wife’s contribution during marriage, and the best interests of the child. However, despite acknowledging factual neglect of maintenance, the decision failed to impose iddah and mut’ah obligations, indicating an imbalance between formal legal reasoning and substantive justice. This study highlights the need for a more consistent judicial approach that prioritizes the protection of women’s and children’s rights through substantively just legal interpretation.</w:t>
      </w:r>
      <w:r w:rsidRPr="00011633">
        <w:rPr>
          <w:rFonts w:ascii="Cambria" w:eastAsia="Cambria" w:hAnsi="Cambria" w:cs="Cambria"/>
          <w:i/>
          <w:iCs/>
          <w:sz w:val="24"/>
          <w:szCs w:val="24"/>
        </w:rPr>
        <w:t xml:space="preserve"> </w:t>
      </w:r>
    </w:p>
    <w:p w14:paraId="005A314D" w14:textId="77777777" w:rsidR="00AD703B" w:rsidRPr="00AD703B" w:rsidRDefault="00AD703B" w:rsidP="00AD703B">
      <w:pPr>
        <w:spacing w:after="0" w:line="240" w:lineRule="auto"/>
        <w:jc w:val="both"/>
        <w:rPr>
          <w:rFonts w:ascii="Cambria" w:eastAsia="Cambria" w:hAnsi="Cambria" w:cs="Cambria"/>
          <w:sz w:val="24"/>
          <w:szCs w:val="24"/>
        </w:rPr>
      </w:pPr>
    </w:p>
    <w:p w14:paraId="78A9F2ED" w14:textId="0A82741B" w:rsidR="0011724A" w:rsidRDefault="00D83851" w:rsidP="00D83851">
      <w:pPr>
        <w:spacing w:after="0" w:line="240" w:lineRule="auto"/>
        <w:jc w:val="both"/>
        <w:rPr>
          <w:rFonts w:ascii="Cambria" w:eastAsia="Cambria" w:hAnsi="Cambria" w:cs="Cambria"/>
          <w:i/>
          <w:iCs/>
          <w:sz w:val="24"/>
          <w:szCs w:val="24"/>
        </w:rPr>
      </w:pPr>
      <w:r>
        <w:rPr>
          <w:rFonts w:ascii="Cambria" w:eastAsia="Cambria" w:hAnsi="Cambria" w:cs="Cambria"/>
          <w:b/>
          <w:sz w:val="24"/>
          <w:szCs w:val="24"/>
          <w:lang w:val="en-US"/>
        </w:rPr>
        <w:t>Keywords</w:t>
      </w:r>
      <w:r w:rsidR="007600A6">
        <w:rPr>
          <w:rFonts w:ascii="Cambria" w:eastAsia="Cambria" w:hAnsi="Cambria" w:cs="Cambria"/>
          <w:b/>
          <w:sz w:val="24"/>
          <w:szCs w:val="24"/>
        </w:rPr>
        <w:t>:</w:t>
      </w:r>
      <w:r w:rsidR="007600A6">
        <w:rPr>
          <w:rFonts w:ascii="Cambria" w:eastAsia="Cambria" w:hAnsi="Cambria" w:cs="Cambria"/>
          <w:sz w:val="24"/>
          <w:szCs w:val="24"/>
        </w:rPr>
        <w:t xml:space="preserve"> </w:t>
      </w:r>
      <w:r w:rsidR="001D2F3D" w:rsidRPr="00011633">
        <w:rPr>
          <w:rFonts w:ascii="Cambria" w:hAnsi="Cambria"/>
          <w:i/>
          <w:iCs/>
          <w:sz w:val="24"/>
          <w:szCs w:val="24"/>
        </w:rPr>
        <w:t>judicial reasoning; divorce by lawsuit; iddah maintenance; mut’ah; child custody</w:t>
      </w:r>
    </w:p>
    <w:p w14:paraId="4D6C9233" w14:textId="77777777" w:rsidR="001B2A7A" w:rsidRPr="00AD703B" w:rsidRDefault="001B2A7A">
      <w:pPr>
        <w:spacing w:after="0"/>
        <w:rPr>
          <w:rFonts w:ascii="Cambria" w:eastAsia="Cambria" w:hAnsi="Cambria" w:cs="Cambria"/>
          <w:i/>
          <w:iCs/>
          <w:sz w:val="24"/>
          <w:szCs w:val="24"/>
        </w:rPr>
      </w:pPr>
    </w:p>
    <w:p w14:paraId="2AD9756B" w14:textId="77777777" w:rsidR="0011724A" w:rsidRPr="002C4448" w:rsidRDefault="007600A6" w:rsidP="002C4448">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sidRPr="002C4448">
        <w:rPr>
          <w:rFonts w:ascii="Cambria" w:eastAsia="Cambria" w:hAnsi="Cambria" w:cs="Cambria"/>
          <w:b/>
          <w:color w:val="000000"/>
          <w:sz w:val="24"/>
          <w:szCs w:val="24"/>
        </w:rPr>
        <w:t xml:space="preserve">Pendahuluan </w:t>
      </w:r>
    </w:p>
    <w:p w14:paraId="6FB7824D" w14:textId="79FEC15B" w:rsidR="0069378D" w:rsidRPr="002C4448" w:rsidRDefault="001D2F3D" w:rsidP="00900706">
      <w:pPr>
        <w:pStyle w:val="NormalWeb"/>
        <w:spacing w:before="0" w:beforeAutospacing="0" w:after="0" w:afterAutospacing="0" w:line="276" w:lineRule="auto"/>
        <w:ind w:firstLine="720"/>
        <w:jc w:val="both"/>
        <w:rPr>
          <w:rFonts w:ascii="Cambria" w:hAnsi="Cambria"/>
        </w:rPr>
      </w:pPr>
      <w:r w:rsidRPr="002C4448">
        <w:rPr>
          <w:rFonts w:ascii="Cambria" w:hAnsi="Cambria"/>
        </w:rPr>
        <w:t>Perceraian dalam praktik peradilan agama tidak hanya menandai berakhirnya ikatan perkawinan, tetapi juga melahirkan konsekuensi hukum yang kompleks, terutama terkait pemenuhan hak-hak perempuan dan anak pascaperceraian. Dalam konteks cerai gugat, persoalan yang kerap muncul adalah tidak terpenuhinya nafkah iddah, mut’ah, dan penetapan hadhanah secara proporsional, meskipun secara normatif ketentuan tersebut telah diatur dalam hukum Islam dan peraturan perundang-undangan yang berlaku. Realitas ini</w:t>
      </w:r>
      <w:r w:rsidR="0069378D" w:rsidRPr="002C4448">
        <w:rPr>
          <w:rFonts w:ascii="Cambria" w:hAnsi="Cambria"/>
        </w:rPr>
        <w:t xml:space="preserve"> menunjukkan adanya jarak antara norma hukum yang ideal dengan praktik yudisial di pengadilan agama, yang pada akhirnya berpotensi melemahkan perlindungan </w:t>
      </w:r>
      <w:r w:rsidR="0069378D" w:rsidRPr="002C4448">
        <w:rPr>
          <w:rFonts w:ascii="Cambria" w:hAnsi="Cambria"/>
        </w:rPr>
        <w:lastRenderedPageBreak/>
        <w:t>hukum bagi pihak yang rentan, khususnya istri dan anak.</w:t>
      </w:r>
      <w:r w:rsidR="009633D6">
        <w:rPr>
          <w:rFonts w:ascii="Cambria" w:hAnsi="Cambria"/>
        </w:rPr>
        <w:t xml:space="preserve"> (</w:t>
      </w:r>
      <w:r w:rsidR="009633D6" w:rsidRPr="002C4448">
        <w:rPr>
          <w:rFonts w:ascii="Cambria" w:hAnsi="Cambria"/>
        </w:rPr>
        <w:t>Aliah, K. I., Sultan, L., &amp; Fatimah, F. 2021)</w:t>
      </w:r>
    </w:p>
    <w:p w14:paraId="792E629B" w14:textId="2506D86E" w:rsidR="0069378D" w:rsidRPr="002C4448" w:rsidRDefault="0069378D" w:rsidP="00900706">
      <w:pPr>
        <w:pStyle w:val="NormalWeb"/>
        <w:spacing w:before="0" w:beforeAutospacing="0" w:after="0" w:afterAutospacing="0" w:line="276" w:lineRule="auto"/>
        <w:ind w:firstLine="720"/>
        <w:jc w:val="both"/>
        <w:rPr>
          <w:rFonts w:ascii="Cambria" w:hAnsi="Cambria"/>
        </w:rPr>
      </w:pPr>
      <w:r w:rsidRPr="002C4448">
        <w:rPr>
          <w:rFonts w:ascii="Cambria" w:hAnsi="Cambria"/>
        </w:rPr>
        <w:t>Secara normatif, Kompilasi Hukum Islam dan Undang-Undang Perkawinan menegaskan bahwa perceraian tidak menghapus kewajiban moral dan hukum suami terhadap mantan istri dan anak, terutama dalam hal pemenuhan nafkah dan pengasuhan. Namun, dalam praktiknya, cerai gugat sering dipahami secara sempit sebagai perceraian yang sepenuhnya disebabkan oleh kehendak istri, sehingga hakim cenderung mengabaikan kewajiban iddah dan mut’ah tanpa menggali lebih jauh sebab-sebab substansial yang melatarbelakangi gugatan tersebut. Pola penalaran semacam ini menimbulkan problem keadilan, karena tidak selalu cerai gugat lahir dari kesalahan istri, melainkan kerap dipicu oleh kelalaian suami dalam menjalankan kewajibannya selama perkawinan.</w:t>
      </w:r>
      <w:r w:rsidR="009633D6">
        <w:rPr>
          <w:rFonts w:ascii="Cambria" w:hAnsi="Cambria"/>
        </w:rPr>
        <w:t xml:space="preserve"> (</w:t>
      </w:r>
      <w:r w:rsidR="009633D6" w:rsidRPr="002C4448">
        <w:rPr>
          <w:rFonts w:ascii="Cambria" w:hAnsi="Cambria"/>
        </w:rPr>
        <w:t>Ariani, T. B., Astawa</w:t>
      </w:r>
      <w:r w:rsidR="009633D6">
        <w:rPr>
          <w:rFonts w:ascii="Cambria" w:hAnsi="Cambria"/>
        </w:rPr>
        <w:t xml:space="preserve"> 2024)</w:t>
      </w:r>
    </w:p>
    <w:p w14:paraId="0389DE08" w14:textId="0E2FEECB" w:rsidR="0069378D" w:rsidRPr="002C4448" w:rsidRDefault="0069378D" w:rsidP="00900706">
      <w:pPr>
        <w:pStyle w:val="NormalWeb"/>
        <w:spacing w:before="0" w:beforeAutospacing="0" w:after="0" w:afterAutospacing="0" w:line="276" w:lineRule="auto"/>
        <w:ind w:firstLine="720"/>
        <w:jc w:val="both"/>
        <w:rPr>
          <w:rFonts w:ascii="Cambria" w:hAnsi="Cambria"/>
        </w:rPr>
      </w:pPr>
      <w:r w:rsidRPr="002C4448">
        <w:rPr>
          <w:rFonts w:ascii="Cambria" w:hAnsi="Cambria"/>
        </w:rPr>
        <w:t>Sejumlah penelitian terdahulu telah mengkaji pemenuhan nafkah pasca</w:t>
      </w:r>
      <w:r w:rsidR="009F69CC">
        <w:rPr>
          <w:rFonts w:ascii="Cambria" w:hAnsi="Cambria"/>
        </w:rPr>
        <w:t xml:space="preserve"> </w:t>
      </w:r>
      <w:r w:rsidRPr="002C4448">
        <w:rPr>
          <w:rFonts w:ascii="Cambria" w:hAnsi="Cambria"/>
        </w:rPr>
        <w:t>perceraian dan pertimbangan hakim dalam perkara cerai gugat. Beberapa studi menekankan bahwa hakim memiliki ruang diskresi untuk menilai layak tidaknya pemberian nafkah iddah dan mut’ah berdasarkan kondisi konkret para pihak. Penelitian lain menyoroti kecenderungan positivistik dalam putusan pengadilan agama yang lebih menekankan aspek formal gugatan daripada keadilan substantif. Meskipun demikian, sebagian besar kajian tersebut masih bersifat umum dan belum secara spesifik menganalisis pertimbangan hakim dalam satu putusan konkret dengan menautkannya pada prinsip perlindungan hak dan kemaslahatan sebagaimana dikehendaki oleh hukum Islam.</w:t>
      </w:r>
      <w:r w:rsidR="00DC0197">
        <w:rPr>
          <w:rFonts w:ascii="Cambria" w:hAnsi="Cambria"/>
        </w:rPr>
        <w:t xml:space="preserve"> (</w:t>
      </w:r>
      <w:r w:rsidR="00DC0197" w:rsidRPr="002C4448">
        <w:rPr>
          <w:rFonts w:ascii="Cambria" w:hAnsi="Cambria"/>
        </w:rPr>
        <w:t>Bukido, R., Azzochrah</w:t>
      </w:r>
      <w:r w:rsidR="00DC0197">
        <w:rPr>
          <w:rFonts w:ascii="Cambria" w:hAnsi="Cambria"/>
        </w:rPr>
        <w:t xml:space="preserve"> 2025)</w:t>
      </w:r>
    </w:p>
    <w:p w14:paraId="5B1786FC" w14:textId="03D41E4E" w:rsidR="0069378D" w:rsidRPr="002C4448" w:rsidRDefault="0069378D" w:rsidP="00900706">
      <w:pPr>
        <w:pStyle w:val="NormalWeb"/>
        <w:spacing w:before="0" w:beforeAutospacing="0" w:after="0" w:afterAutospacing="0" w:line="276" w:lineRule="auto"/>
        <w:ind w:firstLine="720"/>
        <w:jc w:val="both"/>
        <w:rPr>
          <w:rFonts w:ascii="Cambria" w:hAnsi="Cambria"/>
        </w:rPr>
      </w:pPr>
      <w:r w:rsidRPr="002C4448">
        <w:rPr>
          <w:rFonts w:ascii="Cambria" w:hAnsi="Cambria"/>
        </w:rPr>
        <w:t>Berangkat dari celah penelitian tersebut, penelitian ini menjadi penting karena secara khusus mengkaji pertimbangan hakim dalam pemenuhan nafkah iddah, mut’ah, dan hadhanah pada perkara cerai gugat melalui studi terhadap Putusan Nomor 1096/Pdt.G/2025/PA.Pas. Penelitian ini tidak hanya memotret hasil putusan, tetapi juga menelaah pola argumentasi hukum yang digunakan hakim serta kesesuaiannya dengan prinsip keadilan dan tujuan hukum keluarga Islam. Dengan pendekatan yuridis normatif berbasis studi putusan, penelitian ini berupaya menempatkan praktik peradilan dalam kerangka hukum yang lebih substantif.</w:t>
      </w:r>
      <w:r w:rsidR="00DC0197">
        <w:rPr>
          <w:rFonts w:ascii="Cambria" w:hAnsi="Cambria"/>
        </w:rPr>
        <w:t xml:space="preserve"> (</w:t>
      </w:r>
      <w:r w:rsidR="00DC0197" w:rsidRPr="002C4448">
        <w:rPr>
          <w:rFonts w:ascii="Cambria" w:hAnsi="Cambria"/>
        </w:rPr>
        <w:t>Izzati, N. R. 2025)</w:t>
      </w:r>
    </w:p>
    <w:p w14:paraId="64DB67E4" w14:textId="6F712BDF" w:rsidR="00A9361F" w:rsidRPr="002C4448" w:rsidRDefault="0069378D" w:rsidP="00900706">
      <w:pPr>
        <w:pStyle w:val="NormalWeb"/>
        <w:spacing w:before="0" w:beforeAutospacing="0" w:after="0" w:afterAutospacing="0" w:line="276" w:lineRule="auto"/>
        <w:ind w:firstLine="720"/>
        <w:jc w:val="both"/>
        <w:rPr>
          <w:rFonts w:ascii="Cambria" w:hAnsi="Cambria"/>
        </w:rPr>
      </w:pPr>
      <w:r w:rsidRPr="002C4448">
        <w:rPr>
          <w:rFonts w:ascii="Cambria" w:hAnsi="Cambria"/>
        </w:rPr>
        <w:t xml:space="preserve">Kontribusi penelitian ini terletak pada upayanya memperkaya diskursus hukum keluarga Islam dengan memberikan analisis kritis terhadap praktik pertimbangan hakim dalam perkara cerai gugat. Temuan penelitian ini diharapkan dapat menjadi rujukan bagi pengembangan penalaran yudisial yang lebih berorientasi pada perlindungan hak perempuan dan anak, sekaligus mendorong lahirnya putusan-putusan pengadilan agama yang tidak hanya sah secara </w:t>
      </w:r>
      <w:r w:rsidRPr="002C4448">
        <w:rPr>
          <w:rFonts w:ascii="Cambria" w:hAnsi="Cambria"/>
        </w:rPr>
        <w:lastRenderedPageBreak/>
        <w:t>prosedural, tetapi juga adil secara substantif dan selaras dengan nilai-nilai keadilan dalam hukum Islam.</w:t>
      </w:r>
      <w:r w:rsidR="00DC0197">
        <w:rPr>
          <w:rFonts w:ascii="Cambria" w:hAnsi="Cambria"/>
        </w:rPr>
        <w:t xml:space="preserve"> (</w:t>
      </w:r>
      <w:r w:rsidR="00DC0197" w:rsidRPr="002C4448">
        <w:rPr>
          <w:rFonts w:ascii="Cambria" w:hAnsi="Cambria"/>
        </w:rPr>
        <w:t>Amelia, F., Hasyim</w:t>
      </w:r>
      <w:r w:rsidR="00DC0197">
        <w:rPr>
          <w:rFonts w:ascii="Cambria" w:hAnsi="Cambria"/>
        </w:rPr>
        <w:t xml:space="preserve"> 2024)</w:t>
      </w:r>
    </w:p>
    <w:p w14:paraId="502D8159" w14:textId="77777777" w:rsidR="0011724A" w:rsidRPr="002C4448" w:rsidRDefault="007600A6" w:rsidP="002C4448">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sidRPr="002C4448">
        <w:rPr>
          <w:rFonts w:ascii="Cambria" w:eastAsia="Cambria" w:hAnsi="Cambria" w:cs="Cambria"/>
          <w:b/>
          <w:color w:val="000000"/>
          <w:sz w:val="24"/>
          <w:szCs w:val="24"/>
        </w:rPr>
        <w:t>Metode</w:t>
      </w:r>
    </w:p>
    <w:p w14:paraId="0B847DFD" w14:textId="73396988" w:rsidR="00CF5D8E" w:rsidRPr="002C4448" w:rsidRDefault="009028E4" w:rsidP="002C4448">
      <w:pPr>
        <w:spacing w:after="0"/>
        <w:ind w:firstLine="567"/>
        <w:jc w:val="both"/>
        <w:rPr>
          <w:rFonts w:ascii="Cambria" w:eastAsia="Cambria" w:hAnsi="Cambria" w:cs="Cambria"/>
          <w:sz w:val="24"/>
          <w:szCs w:val="24"/>
        </w:rPr>
      </w:pPr>
      <w:r w:rsidRPr="002C4448">
        <w:rPr>
          <w:rFonts w:ascii="Cambria" w:eastAsia="Times New Roman" w:hAnsi="Cambria" w:cs="Times New Roman"/>
          <w:sz w:val="24"/>
          <w:szCs w:val="24"/>
          <w:lang w:eastAsia="id-ID"/>
        </w:rPr>
        <w:t xml:space="preserve">Penelitian ini menggunakan jenis penelitian hukum normatif dengan pendekatan </w:t>
      </w:r>
      <w:r w:rsidRPr="002C4448">
        <w:rPr>
          <w:rFonts w:ascii="Cambria" w:hAnsi="Cambria" w:cs="Times New Roman"/>
          <w:sz w:val="24"/>
          <w:szCs w:val="24"/>
        </w:rPr>
        <w:t>kasus (case approach).</w:t>
      </w:r>
      <w:r w:rsidR="00CF5D8E" w:rsidRPr="002C4448">
        <w:rPr>
          <w:rFonts w:ascii="Cambria" w:hAnsi="Cambria"/>
        </w:rPr>
        <w:t xml:space="preserve"> </w:t>
      </w:r>
      <w:r w:rsidRPr="002C4448">
        <w:rPr>
          <w:rFonts w:ascii="Cambria" w:eastAsia="Times New Roman" w:hAnsi="Cambria" w:cs="Times New Roman"/>
          <w:sz w:val="24"/>
          <w:szCs w:val="24"/>
          <w:lang w:eastAsia="id-ID"/>
        </w:rPr>
        <w:t>yang berfokus pada analisis putusan pengadilan agama. Pendekatan ini dipilih untuk mengkaji secara mendalam pertimbangan hukum hakim dalam memenuhi hak-hak pascaperceraian, khususnya nafkah iddah, mut’ah, dan hadhanah dalam perkara cerai gugat. Objek utama penelitian ini adalah Putusan Nomor 1096/Pdt.G/2025/PA.Pas yang diputus oleh Pengadilan Agama Pasuruan, karena putusan tersebut merepresentasikan praktik konkret penerapan hukum keluarga Islam dalam konteks cerai gugat.</w:t>
      </w:r>
      <w:r w:rsidR="001459D6">
        <w:rPr>
          <w:rFonts w:ascii="Cambria" w:eastAsia="Times New Roman" w:hAnsi="Cambria" w:cs="Times New Roman"/>
          <w:sz w:val="24"/>
          <w:szCs w:val="24"/>
          <w:lang w:eastAsia="id-ID"/>
        </w:rPr>
        <w:t xml:space="preserve"> (</w:t>
      </w:r>
      <w:r w:rsidR="001459D6" w:rsidRPr="002C4448">
        <w:rPr>
          <w:rFonts w:ascii="Cambria" w:eastAsia="Times New Roman" w:hAnsi="Cambria" w:cs="Times New Roman"/>
          <w:sz w:val="24"/>
          <w:szCs w:val="24"/>
          <w:lang w:eastAsia="id-ID"/>
        </w:rPr>
        <w:t>Herman</w:t>
      </w:r>
      <w:r w:rsidR="001459D6">
        <w:rPr>
          <w:rFonts w:ascii="Cambria" w:eastAsia="Times New Roman" w:hAnsi="Cambria" w:cs="Times New Roman"/>
          <w:sz w:val="24"/>
          <w:szCs w:val="24"/>
          <w:lang w:eastAsia="id-ID"/>
        </w:rPr>
        <w:t xml:space="preserve"> 2022)</w:t>
      </w:r>
    </w:p>
    <w:p w14:paraId="00C5FD74" w14:textId="05AC35A9" w:rsidR="00CF5D8E" w:rsidRPr="002C4448" w:rsidRDefault="009028E4" w:rsidP="002C4448">
      <w:pPr>
        <w:spacing w:after="0"/>
        <w:ind w:firstLine="567"/>
        <w:jc w:val="both"/>
        <w:rPr>
          <w:rFonts w:ascii="Cambria" w:eastAsia="Cambria" w:hAnsi="Cambria" w:cs="Cambria"/>
          <w:sz w:val="24"/>
          <w:szCs w:val="24"/>
        </w:rPr>
      </w:pPr>
      <w:r w:rsidRPr="002C4448">
        <w:rPr>
          <w:rFonts w:ascii="Cambria" w:eastAsia="Times New Roman" w:hAnsi="Cambria" w:cs="Times New Roman"/>
          <w:sz w:val="24"/>
          <w:szCs w:val="24"/>
          <w:lang w:eastAsia="id-ID"/>
        </w:rPr>
        <w:t>Sumber data penelitian terdiri atas bahan hukum primer, sekunder, dan tersier. Bahan hukum primer meliputi putusan pengadilan yang menjadi objek kajian, peraturan perundang-undangan terkait perkawinan dan perceraian, serta Kompilasi Hukum Islam. Bahan hukum sekunder berupa literatur ilmiah, artikel jurnal, dan karya akademik yang membahas hukum keluarga Islam, pertimbangan hakim, serta perlindungan hak perempuan dan anak dalam perkara perceraian. Adapun bahan hukum tersier digunakan sebagai pelengkap, seperti kamus hukum dan ensiklopedia hukum Islam untuk memperjelas konsep dan istilah yang relevan.</w:t>
      </w:r>
      <w:r w:rsidR="001459D6">
        <w:rPr>
          <w:rFonts w:ascii="Cambria" w:eastAsia="Times New Roman" w:hAnsi="Cambria" w:cs="Times New Roman"/>
          <w:sz w:val="24"/>
          <w:szCs w:val="24"/>
          <w:lang w:eastAsia="id-ID"/>
        </w:rPr>
        <w:t xml:space="preserve"> </w:t>
      </w:r>
      <w:r w:rsidR="001459D6">
        <w:rPr>
          <w:rFonts w:ascii="Cambria" w:eastAsia="Cambria" w:hAnsi="Cambria" w:cs="Cambria"/>
          <w:sz w:val="24"/>
          <w:szCs w:val="24"/>
          <w:lang w:val="en-ID"/>
        </w:rPr>
        <w:fldChar w:fldCharType="begin" w:fldLock="1"/>
      </w:r>
      <w:r w:rsidR="001459D6">
        <w:rPr>
          <w:rFonts w:ascii="Cambria" w:eastAsia="Cambria" w:hAnsi="Cambria" w:cs="Cambria"/>
          <w:sz w:val="24"/>
          <w:szCs w:val="24"/>
          <w:lang w:val="en-ID"/>
        </w:rPr>
        <w:instrText>ADDIN CSL_CITATION {"citationItems":[{"id":"ITEM-1","itemData":{"author":[{"dropping-particle":"","family":"Nasution","given":"M","non-dropping-particle":"","parse-names":false,"suffix":""},{"dropping-particle":"","family":"Firdaus","given":"A","non-dropping-particle":"","parse-names":false,"suffix":""},{"dropping-particle":"","family":"Zaki","given":"R","non-dropping-particle":"","parse-names":false,"suffix":""}],"container-title":"Journal of Islamic Legal Studies","id":"ITEM-1","issue":"1","issued":{"date-parts":[["2025"]]},"page":"80-94","title":"Normative Legal Analysis of Inheritance Law in Islamic Jurisprudence: A Comparative Study of KHI and Fiqh Syafi'i","type":"article-journal","volume":"20"},"uris":["http://www.mendeley.com/documents/?uuid=652159f1-f4c1-4ee7-8d98-18be33cc2afc","http://www.mendeley.com/documents/?uuid=60b81d86-78cd-43d5-8dc8-25dee68de17f"]}],"mendeley":{"formattedCitation":"(Nasution et al. 2025)","plainTextFormattedCitation":"(Nasution et al. 2025)","previouslyFormattedCitation":"(Nasution et al. 2025)"},"properties":{"noteIndex":0},"schema":"https://github.com/citation-style-language/schema/raw/master/csl-citation.json"}</w:instrText>
      </w:r>
      <w:r w:rsidR="001459D6">
        <w:rPr>
          <w:rFonts w:ascii="Cambria" w:eastAsia="Cambria" w:hAnsi="Cambria" w:cs="Cambria"/>
          <w:sz w:val="24"/>
          <w:szCs w:val="24"/>
          <w:lang w:val="en-ID"/>
        </w:rPr>
        <w:fldChar w:fldCharType="separate"/>
      </w:r>
      <w:r w:rsidR="001459D6">
        <w:rPr>
          <w:rFonts w:ascii="Cambria" w:eastAsia="Cambria" w:hAnsi="Cambria" w:cs="Cambria"/>
          <w:sz w:val="24"/>
          <w:szCs w:val="24"/>
          <w:lang w:val="en-ID"/>
        </w:rPr>
        <w:t>(Nasution et al. 2025)</w:t>
      </w:r>
      <w:r w:rsidR="001459D6">
        <w:rPr>
          <w:rFonts w:ascii="Cambria" w:eastAsia="Cambria" w:hAnsi="Cambria" w:cs="Cambria"/>
          <w:sz w:val="24"/>
          <w:szCs w:val="24"/>
        </w:rPr>
        <w:fldChar w:fldCharType="end"/>
      </w:r>
    </w:p>
    <w:p w14:paraId="44479BA6" w14:textId="1FC58938" w:rsidR="00CF5D8E" w:rsidRPr="002C4448" w:rsidRDefault="009028E4" w:rsidP="002C4448">
      <w:pPr>
        <w:spacing w:after="0"/>
        <w:ind w:firstLine="567"/>
        <w:jc w:val="both"/>
        <w:rPr>
          <w:rFonts w:ascii="Cambria" w:eastAsia="Cambria" w:hAnsi="Cambria" w:cs="Cambria"/>
          <w:sz w:val="24"/>
          <w:szCs w:val="24"/>
        </w:rPr>
      </w:pPr>
      <w:r w:rsidRPr="002C4448">
        <w:rPr>
          <w:rFonts w:ascii="Cambria" w:eastAsia="Times New Roman" w:hAnsi="Cambria" w:cs="Times New Roman"/>
          <w:sz w:val="24"/>
          <w:szCs w:val="24"/>
          <w:lang w:eastAsia="id-ID"/>
        </w:rPr>
        <w:t>Teknik pengumpulan data dilakukan melalui studi kepustakaan dengan menelaah secara sistematis seluruh bahan hukum yang relevan. Data yang terkumpul kemudian dianalisis menggunakan metode analisis kualitatif dengan pola penalaran deduktif, yaitu menarik kesimpulan dari ketentuan hukum umum menuju penerapannya dalam putusan yang dikaji. Analisis difokuskan pada konsistensi antara dasar hukum yang digunakan hakim, pertimbangan yuridis dan sosiologis yang dikemukakan dalam putusan, serta kesesuaiannya dengan prinsip keadilan dan tujuan hukum keluarga Islam.</w:t>
      </w:r>
      <w:r w:rsidR="001459D6">
        <w:rPr>
          <w:rFonts w:ascii="Cambria" w:eastAsia="Times New Roman" w:hAnsi="Cambria" w:cs="Times New Roman"/>
          <w:sz w:val="24"/>
          <w:szCs w:val="24"/>
          <w:lang w:eastAsia="id-ID"/>
        </w:rPr>
        <w:t xml:space="preserve"> (</w:t>
      </w:r>
      <w:r w:rsidR="001459D6" w:rsidRPr="002C4448">
        <w:rPr>
          <w:rFonts w:ascii="Cambria" w:hAnsi="Cambria" w:cs="Times New Roman"/>
          <w:sz w:val="24"/>
          <w:szCs w:val="24"/>
        </w:rPr>
        <w:t>Karmawan</w:t>
      </w:r>
      <w:r w:rsidR="001459D6">
        <w:rPr>
          <w:rFonts w:ascii="Cambria" w:hAnsi="Cambria" w:cs="Times New Roman"/>
          <w:sz w:val="24"/>
          <w:szCs w:val="24"/>
        </w:rPr>
        <w:t xml:space="preserve"> 2025)</w:t>
      </w:r>
    </w:p>
    <w:p w14:paraId="6A9D2FE1" w14:textId="49ACDD97" w:rsidR="00145166" w:rsidRPr="00145166" w:rsidRDefault="009028E4" w:rsidP="00D83851">
      <w:pPr>
        <w:spacing w:after="0"/>
        <w:ind w:firstLine="567"/>
        <w:jc w:val="both"/>
        <w:rPr>
          <w:rFonts w:ascii="Cambria" w:eastAsia="Cambria" w:hAnsi="Cambria" w:cs="Cambria"/>
          <w:sz w:val="24"/>
          <w:szCs w:val="24"/>
        </w:rPr>
      </w:pPr>
      <w:r w:rsidRPr="002C4448">
        <w:rPr>
          <w:rFonts w:ascii="Cambria" w:eastAsia="Times New Roman" w:hAnsi="Cambria" w:cs="Times New Roman"/>
          <w:sz w:val="24"/>
          <w:szCs w:val="24"/>
          <w:lang w:eastAsia="id-ID"/>
        </w:rPr>
        <w:t>Melalui metode ini, penelitian diharapkan mampu memberikan gambaran yang komprehensif mengenai pola pertimbangan hakim dalam pemenuhan hak iddah, mut’ah, dan hadhanah pada perkara cerai gugat, sekaligus mengungkap aspek normatif yang perlu dikembangkan guna memperkuat perlindungan hukum bagi perempuan dan anak pascaperceraian.</w:t>
      </w:r>
      <w:r w:rsidR="00D01206">
        <w:rPr>
          <w:rFonts w:ascii="Cambria" w:eastAsia="Times New Roman" w:hAnsi="Cambria" w:cs="Times New Roman"/>
          <w:sz w:val="24"/>
          <w:szCs w:val="24"/>
          <w:lang w:eastAsia="id-ID"/>
        </w:rPr>
        <w:t xml:space="preserve"> (</w:t>
      </w:r>
      <w:r w:rsidR="00D01206" w:rsidRPr="002C4448">
        <w:rPr>
          <w:rFonts w:ascii="Cambria" w:hAnsi="Cambria" w:cs="Times New Roman"/>
          <w:sz w:val="24"/>
          <w:szCs w:val="24"/>
        </w:rPr>
        <w:t>Sapruddin</w:t>
      </w:r>
      <w:r w:rsidR="00D01206">
        <w:rPr>
          <w:rFonts w:ascii="Cambria" w:hAnsi="Cambria" w:cs="Times New Roman"/>
          <w:sz w:val="24"/>
          <w:szCs w:val="24"/>
        </w:rPr>
        <w:t xml:space="preserve"> 2024)</w:t>
      </w:r>
    </w:p>
    <w:p w14:paraId="64B45CCD" w14:textId="2CED9FB0" w:rsidR="0011724A" w:rsidRPr="002C4448" w:rsidRDefault="00CF5D8E" w:rsidP="002C4448">
      <w:pPr>
        <w:numPr>
          <w:ilvl w:val="0"/>
          <w:numId w:val="1"/>
        </w:numPr>
        <w:pBdr>
          <w:top w:val="nil"/>
          <w:left w:val="nil"/>
          <w:bottom w:val="nil"/>
          <w:right w:val="nil"/>
          <w:between w:val="nil"/>
        </w:pBdr>
        <w:spacing w:after="0"/>
        <w:ind w:left="284"/>
        <w:jc w:val="both"/>
        <w:rPr>
          <w:rFonts w:ascii="Cambria" w:eastAsia="Cambria" w:hAnsi="Cambria" w:cs="Cambria"/>
          <w:b/>
          <w:sz w:val="24"/>
          <w:szCs w:val="24"/>
        </w:rPr>
      </w:pPr>
      <w:r w:rsidRPr="002C4448">
        <w:rPr>
          <w:rFonts w:ascii="Cambria" w:eastAsia="Cambria" w:hAnsi="Cambria" w:cs="Cambria"/>
          <w:b/>
          <w:sz w:val="24"/>
          <w:szCs w:val="24"/>
        </w:rPr>
        <w:t>Hasil dan Pembahasan</w:t>
      </w:r>
    </w:p>
    <w:p w14:paraId="100D7EDC" w14:textId="73FF7BFF" w:rsidR="00CB7130" w:rsidRPr="002C4448" w:rsidRDefault="00712569" w:rsidP="002C4448">
      <w:pPr>
        <w:pStyle w:val="ListParagraph"/>
        <w:numPr>
          <w:ilvl w:val="0"/>
          <w:numId w:val="7"/>
        </w:numPr>
        <w:pBdr>
          <w:top w:val="nil"/>
          <w:left w:val="nil"/>
          <w:bottom w:val="nil"/>
          <w:right w:val="nil"/>
          <w:between w:val="nil"/>
        </w:pBdr>
        <w:spacing w:after="0"/>
        <w:ind w:left="426"/>
        <w:jc w:val="both"/>
        <w:rPr>
          <w:rFonts w:ascii="Cambria" w:eastAsia="Cambria" w:hAnsi="Cambria" w:cs="Cambria"/>
          <w:b/>
          <w:bCs/>
          <w:color w:val="000000"/>
          <w:sz w:val="24"/>
          <w:szCs w:val="24"/>
        </w:rPr>
      </w:pPr>
      <w:r w:rsidRPr="002C4448">
        <w:rPr>
          <w:rFonts w:ascii="Cambria" w:hAnsi="Cambria"/>
          <w:b/>
          <w:bCs/>
          <w:sz w:val="24"/>
          <w:szCs w:val="24"/>
        </w:rPr>
        <w:t>Dasar Hukum Pertimbangan Hakim dalam Putusan Cerai Gugat Nomor 1096/Pdt.G/2025/PA.Pas</w:t>
      </w:r>
    </w:p>
    <w:p w14:paraId="7F81716C" w14:textId="23D9C6F4"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 xml:space="preserve">Putusan Pengadilan Agama Pasuruan Nomor 1096/Pdt.G/2025/PA.Pas. </w:t>
      </w:r>
      <w:r w:rsidR="001E2A6D">
        <w:rPr>
          <w:rFonts w:ascii="Cambria" w:eastAsia="Times New Roman" w:hAnsi="Cambria" w:cs="Times New Roman"/>
          <w:sz w:val="24"/>
          <w:szCs w:val="24"/>
          <w:lang w:eastAsia="id-ID"/>
        </w:rPr>
        <w:t>Memperlihatkan</w:t>
      </w:r>
      <w:r w:rsidRPr="00990FF5">
        <w:rPr>
          <w:rFonts w:ascii="Cambria" w:eastAsia="Times New Roman" w:hAnsi="Cambria" w:cs="Times New Roman"/>
          <w:sz w:val="24"/>
          <w:szCs w:val="24"/>
          <w:lang w:eastAsia="id-ID"/>
        </w:rPr>
        <w:t xml:space="preserve"> bahwa Majelis Hakim menerapkan dasar hukum yang bersifat </w:t>
      </w:r>
      <w:r w:rsidRPr="00990FF5">
        <w:rPr>
          <w:rFonts w:ascii="Cambria" w:eastAsia="Times New Roman" w:hAnsi="Cambria" w:cs="Times New Roman"/>
          <w:sz w:val="24"/>
          <w:szCs w:val="24"/>
          <w:lang w:eastAsia="id-ID"/>
        </w:rPr>
        <w:lastRenderedPageBreak/>
        <w:t>integratif dalam memutus perkara cerai gugat. Dasar hukum tersebut bersumber dari peraturan perundang-undangan, Kompilasi Hukum Islam, serta nilai-nilai hukum Islam yang hidup dan berkembang dalam masyarakat. Pendekatan ini menunjukkan bahwa hakim tidak memisahkan secara kaku antara hukum positif dan hukum Islam. Kedua sistem hukum tersebut diposisikan sebagai satu kesatuan yang saling melengkapi dalam hukum keluarga. Dengan pendekatan demikian, penyelesaian perkara tidak hanya mengejar kepastian hukum formal. Putusan juga diarahkan untuk mewujudkan keadilan substantif bagi para pihak. Karakter integratif ini menjadi ciri khas peradilan agama. Oleh karena itu, putusan mencerminkan keseimbangan antara norma hukum dan realitas sosial.</w:t>
      </w:r>
    </w:p>
    <w:p w14:paraId="36946D18" w14:textId="77777777"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Dari aspek kewenangan, Majelis Hakim mendasarkan pemeriksaan perkara pada Pasal 49 ayat (1) huruf a Undang-Undang Nomor 7 Tahun 1989 tentang Peradilan Agama sebagaimana telah diubah. Penegasan kewenangan absolut dilakukan sebelum memasuki pemeriksaan pokok perkara. Langkah tersebut merupakan kewajiban ex officio hakim dalam hukum acara perdata. Pemeriksaan kewenangan bertujuan untuk memastikan bahwa lembaga peradilan yang memeriksa perkara memiliki kompetensi yang sah. Dengan terpenuhinya aspek kompetensi absolut, putusan yang dijatuhkan terhindar dari cacat kewenangan. Hal ini penting untuk menjamin kekuatan hukum putusan. Sikap tersebut menunjukkan kehati-hatian hakim dalam menjaga legitimasi peradilan. Selain itu, langkah ini mencerminkan penerapan asas legalitas secara konsisten.</w:t>
      </w:r>
    </w:p>
    <w:p w14:paraId="58EC14DF" w14:textId="77777777"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Dalam menilai alasan perceraian, Majelis Hakim menggunakan Pasal 39 ayat (2) Undang-Undang Nomor 1 Tahun 1974 juncto Pasal 19 huruf (f) Peraturan Pemerintah Nomor 9 Tahun 1975 dan Pasal 116 huruf (f) Kompilasi Hukum Islam. Ketentuan tersebut diterapkan karena fakta persidangan menunjukkan adanya perselisihan dan pertengkaran yang berlangsung secara terus-menerus. Hubungan suami istri tidak lagi berjalan harmonis sebagaimana mestinya. Selain itu, para pihak telah berpisah tempat tinggal dalam waktu yang cukup lama. Upaya perdamaian yang dilakukan juga tidak membuahkan hasil. Kondisi tersebut menunjukkan tidak adanya harapan realistis untuk hidup rukun kembali. Majelis Hakim menilai bahwa unsur alasan perceraian telah terpenuhi secara hukum. Oleh karena itu, gugatan cerai dinyatakan beralasan untuk dikabulkan.</w:t>
      </w:r>
    </w:p>
    <w:p w14:paraId="4F843DAC" w14:textId="11B19621"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 xml:space="preserve">Pertimbangan tersebut kemudian dikaitkan dengan tujuan perkawinan sebagaimana diatur dalam Pasal 3 Kompilasi Hukum Islam. Tujuan perkawinan untuk mewujudkan rumah tangga yang sakinah, mawaddah, dan rahmah dinilai </w:t>
      </w:r>
      <w:r w:rsidRPr="00990FF5">
        <w:rPr>
          <w:rFonts w:ascii="Cambria" w:eastAsia="Times New Roman" w:hAnsi="Cambria" w:cs="Times New Roman"/>
          <w:sz w:val="24"/>
          <w:szCs w:val="24"/>
          <w:lang w:eastAsia="id-ID"/>
        </w:rPr>
        <w:lastRenderedPageBreak/>
        <w:t>tidak lagi dapat dicapai. Fakta persidangan justru menunjukkan adanya konflik berkepanjangan yang menimbulkan penderitaan bagi para pihak. Keadaan tersebut berpotensi melahirkan kemudaratan yang lebih besar apabila perkawinan tetap dipertahankan. Majelis Hakim memandang bahwa perceraian merupakan solusi hukum yang paling realistis. Pendekatan ini menekankan pada asas kemaslahatan. Hakim tidak hanya berpegang pada formalitas hukum semata. Dengan demikian, putusan diarahkan untuk menghindari kerugian yang lebih besar bagi para pihak</w:t>
      </w:r>
      <w:r w:rsidR="004F75FF">
        <w:rPr>
          <w:rFonts w:ascii="Cambria" w:eastAsia="Times New Roman" w:hAnsi="Cambria" w:cs="Times New Roman"/>
          <w:sz w:val="24"/>
          <w:szCs w:val="24"/>
          <w:lang w:eastAsia="id-ID"/>
        </w:rPr>
        <w:t>. (</w:t>
      </w:r>
      <w:r w:rsidR="004F75FF" w:rsidRPr="002C4448">
        <w:rPr>
          <w:rFonts w:ascii="Cambria" w:hAnsi="Cambria"/>
        </w:rPr>
        <w:t>Ramdani</w:t>
      </w:r>
      <w:r w:rsidR="004F75FF">
        <w:rPr>
          <w:rFonts w:ascii="Cambria" w:hAnsi="Cambria"/>
        </w:rPr>
        <w:t xml:space="preserve"> </w:t>
      </w:r>
      <w:r w:rsidR="004F75FF" w:rsidRPr="002C4448">
        <w:rPr>
          <w:rFonts w:ascii="Cambria" w:hAnsi="Cambria"/>
        </w:rPr>
        <w:t>2021).</w:t>
      </w:r>
    </w:p>
    <w:p w14:paraId="245C628F" w14:textId="77777777"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Dari perspektif hukum Islam, pertimbangan Majelis Hakim memiliki legitimasi fiqhiyah yang kuat. Dalam literatur fiqh, perceraian memang dipandang sebagai perbuatan yang dibenci oleh Allah SWT. Namun demikian, perceraian tetap dibolehkan dalam keadaan tertentu. Para ulama sepakat bahwa perceraian dapat dilakukan apabila konflik rumah tangga tidak lagi dapat didamaikan. Sayyid Sabiq menjelaskan bahwa talak dibenarkan apabila mempertahankan perkawinan justru menimbulkan ketidakadilan dan penderitaan. Prinsip ini menempatkan perceraian sebagai jalan terakhir. Dengan demikian, putusan hakim tidak bertentangan dengan prinsip dasar hukum Islam. Pertimbangan tersebut justru mencerminkan kehati-hatian dalam menjaga nilai keadilan.</w:t>
      </w:r>
    </w:p>
    <w:p w14:paraId="4E8F47FF" w14:textId="77777777"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Dalam aspek nafkah iddah dan mut’ah, terdapat perbedaan antara ketentuan normatif dan penerapannya dalam putusan. Pasal 149 Kompilasi Hukum Islam secara tegas mengatur kewajiban mantan suami untuk memberikan nafkah iddah dan mut’ah. Ketentuan ini bertujuan memberikan perlindungan hukum kepada perempuan pasca perceraian. Namun, dalam perkara a quo Majelis Hakim tidak menetapkan kewajiban tersebut dalam amar putusan. Hal ini disebabkan tidak adanya tuntutan nafkah iddah dan mut’ah dalam petitum gugatan. Kondisi ini menunjukkan penerapan asas hukum acara perdata yang membatasi kewenangan hakim. Hakim tidak diperkenankan menjatuhkan putusan melebihi tuntutan para pihak. Dengan demikian, tidak ditetapkannya nafkah tersebut merupakan konsekuensi prosedural.</w:t>
      </w:r>
    </w:p>
    <w:p w14:paraId="68E7C445" w14:textId="77777777"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 xml:space="preserve">Meskipun nafkah iddah dan mut’ah tidak ditetapkan, Majelis Hakim tetap mempertimbangkan kewajiban nafkah selama perkawinan. Pasal 34 ayat (1) Undang-Undang Nomor 1 Tahun 1974 dan Pasal 80 Kompilasi Hukum Islam digunakan sebagai dasar penilaian. Fakta persidangan menunjukkan bahwa Tergugat lalai dalam memenuhi kewajiban nafkah terhadap keluarga. Kelalaian tersebut dipandang sebagai salah satu penyebab utama terjadinya konflik rumah tangga. Hakim menilai bahwa kegagalan memenuhi kewajiban ekonomi berdampak langsung pada keharmonisan keluarga. Pertimbangan ini </w:t>
      </w:r>
      <w:r w:rsidRPr="00990FF5">
        <w:rPr>
          <w:rFonts w:ascii="Cambria" w:eastAsia="Times New Roman" w:hAnsi="Cambria" w:cs="Times New Roman"/>
          <w:sz w:val="24"/>
          <w:szCs w:val="24"/>
          <w:lang w:eastAsia="id-ID"/>
        </w:rPr>
        <w:lastRenderedPageBreak/>
        <w:t>menunjukkan bahwa hakim tidak mengabaikan fakta material yang relevan. Analisis yang digunakan tidak bersifat formalistik semata. Dengan demikian, pertimbangan hakim memiliki kedalaman sosiologis.</w:t>
      </w:r>
    </w:p>
    <w:p w14:paraId="77DFBE37" w14:textId="77777777" w:rsidR="00990FF5" w:rsidRPr="002C4448" w:rsidRDefault="00990FF5" w:rsidP="002C4448">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Dalam penetapan hadhanah, Majelis Hakim mendasarkan putusannya pada Pasal 105 huruf (a) Kompilasi Hukum Islam. Ketentuan ini menegaskan bahwa anak yang belum mumayyiz berada dalam pengasuhan ibu. Fakta persidangan menunjukkan bahwa anak para pihak masih berusia belum dewasa. Selama ini anak berada dalam pengasuhan Penggugat dan tumbuh dalam lingkungan yang relatif stabil. Kondisi tersebut menjadi pertimbangan penting bagi Majelis Hakim. Penetapan hak asuh kepada ibu menunjukkan konsistensi penerapan hukum Islam. Putusan ini juga mencerminkan perhatian terhadap kebutuhan emosional anak. Dengan demikian, hadhanah diarahkan pada kemaslahatan anak.</w:t>
      </w:r>
    </w:p>
    <w:p w14:paraId="70328EE9" w14:textId="0D20909C" w:rsidR="00990FF5" w:rsidRPr="002C4448" w:rsidRDefault="00990FF5" w:rsidP="00CC5769">
      <w:pPr>
        <w:pBdr>
          <w:top w:val="nil"/>
          <w:left w:val="nil"/>
          <w:bottom w:val="nil"/>
          <w:right w:val="nil"/>
          <w:between w:val="nil"/>
        </w:pBdr>
        <w:spacing w:after="0"/>
        <w:ind w:left="426" w:firstLine="720"/>
        <w:jc w:val="both"/>
        <w:rPr>
          <w:rFonts w:ascii="Cambria" w:hAnsi="Cambria"/>
        </w:rPr>
      </w:pPr>
      <w:r w:rsidRPr="00990FF5">
        <w:rPr>
          <w:rFonts w:ascii="Cambria" w:eastAsia="Times New Roman" w:hAnsi="Cambria" w:cs="Times New Roman"/>
          <w:sz w:val="24"/>
          <w:szCs w:val="24"/>
          <w:lang w:eastAsia="id-ID"/>
        </w:rPr>
        <w:t>Pendekatan Majelis Hakim dalam perkara ini juga sejalan dengan prinsip kepentingan terbaik bagi anak. Dalam teori hukum modern, penetapan hak asuh tidak hanya didasarkan pada norma tertulis. Kondisi psikologis dan sosial anak juga menjadi pertimbangan utama. Hakim dituntut untuk menilai pihak yang paling mampu menjamin tumbuh kembang anak secara optimal. Dalam perkara ini, ibu dinilai lebih memenuhi kriteria tersebut. Oleh karena itu, penetapan hadhanah diarahkan pada perlindungan anak. Pendekatan ini menunjukkan integrasi antara hukum Islam dan prinsip perlindungan anak kontemporer. Dengan demikian, putusan tidak hanya berorientasi pada kepastian hukum, tetapi juga pada keadilan dan kemaslahatan.</w:t>
      </w:r>
    </w:p>
    <w:p w14:paraId="540613B5" w14:textId="652941E8" w:rsidR="00C10B2E" w:rsidRPr="002C4448" w:rsidRDefault="00C10B2E" w:rsidP="002C4448">
      <w:pPr>
        <w:pBdr>
          <w:top w:val="nil"/>
          <w:left w:val="nil"/>
          <w:bottom w:val="nil"/>
          <w:right w:val="nil"/>
          <w:between w:val="nil"/>
        </w:pBdr>
        <w:spacing w:after="0"/>
        <w:ind w:left="426" w:firstLine="720"/>
        <w:jc w:val="both"/>
        <w:rPr>
          <w:rFonts w:ascii="Cambria" w:hAnsi="Cambria"/>
        </w:rPr>
      </w:pPr>
    </w:p>
    <w:p w14:paraId="034ABFF8" w14:textId="710C1BA5" w:rsidR="00C10B2E" w:rsidRPr="002C4448" w:rsidRDefault="00FA411B" w:rsidP="002C4448">
      <w:pPr>
        <w:pStyle w:val="ListParagraph"/>
        <w:numPr>
          <w:ilvl w:val="0"/>
          <w:numId w:val="7"/>
        </w:numPr>
        <w:pBdr>
          <w:top w:val="nil"/>
          <w:left w:val="nil"/>
          <w:bottom w:val="nil"/>
          <w:right w:val="nil"/>
          <w:between w:val="nil"/>
        </w:pBdr>
        <w:spacing w:after="0"/>
        <w:ind w:left="426"/>
        <w:jc w:val="both"/>
        <w:rPr>
          <w:rFonts w:ascii="Cambria" w:hAnsi="Cambria"/>
          <w:sz w:val="24"/>
          <w:szCs w:val="24"/>
        </w:rPr>
      </w:pPr>
      <w:r w:rsidRPr="002C4448">
        <w:rPr>
          <w:rFonts w:ascii="Cambria" w:hAnsi="Cambria"/>
          <w:b/>
          <w:bCs/>
          <w:sz w:val="24"/>
          <w:szCs w:val="24"/>
        </w:rPr>
        <w:t>Pertimbangan Hakim Terkait Pemenuhan Nafkah Iddah, Mut’ah, dan Hadhanah dalam Putusan Nomor 1096/pdt.G/2025/PA.Pas.</w:t>
      </w:r>
    </w:p>
    <w:p w14:paraId="06FEE29D" w14:textId="1A743E13"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 xml:space="preserve">Putusan Pengadilan Agama Pasuruan Nomor 1096/Pdt.G/2025/PA.Pas. </w:t>
      </w:r>
      <w:r w:rsidR="00CC5769">
        <w:rPr>
          <w:rFonts w:ascii="Cambria" w:eastAsia="Times New Roman" w:hAnsi="Cambria" w:cs="Times New Roman"/>
          <w:sz w:val="24"/>
          <w:szCs w:val="24"/>
          <w:lang w:eastAsia="id-ID"/>
        </w:rPr>
        <w:t>Menunjukkan</w:t>
      </w:r>
      <w:r w:rsidRPr="000D7F9B">
        <w:rPr>
          <w:rFonts w:ascii="Cambria" w:eastAsia="Times New Roman" w:hAnsi="Cambria" w:cs="Times New Roman"/>
          <w:sz w:val="24"/>
          <w:szCs w:val="24"/>
          <w:lang w:eastAsia="id-ID"/>
        </w:rPr>
        <w:t xml:space="preserve"> bahwa Majelis Hakim mempertimbangkan pemenuhan nafkah iddah, mut’ah, dan hadhanah secara menyeluruh dengan memperhatikan karakter cerai gugat. Pertimbangan tersebut tidak hanya didasarkan pada norma hukum materiil, tetapi juga memperhatikan batasan hukum acara perdata yang melekat pada perkara. Posisi istri sebagai penggugat memiliki implikasi yuridis terhadap ruang gerak hakim dalam merumuskan amar putusan. Dalam perkara cerai gugat, inisiatif dan ruang tuntutan sepenuhnya berada pada pihak penggugat. Oleh karena itu, hakim tidak dapat bertindak di luar permintaan yang diajukan. Pendekatan ini mencerminkan kehati-hatian hakim dalam menjaga kepastian hukum. Putusan tersebut menunjukkan bahwa </w:t>
      </w:r>
      <w:r w:rsidRPr="000D7F9B">
        <w:rPr>
          <w:rFonts w:ascii="Cambria" w:eastAsia="Times New Roman" w:hAnsi="Cambria" w:cs="Times New Roman"/>
          <w:sz w:val="24"/>
          <w:szCs w:val="24"/>
          <w:lang w:eastAsia="id-ID"/>
        </w:rPr>
        <w:lastRenderedPageBreak/>
        <w:t>keseimbangan antara keadilan dan prosedur menjadi perhatian utama. Dengan demikian, pertimbangan hakim bersifat kontekstual dan proporsional.</w:t>
      </w:r>
    </w:p>
    <w:p w14:paraId="077E9322"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Dalam konteks nafkah iddah dan mut’ah, Majelis Hakim menilai bahwa Penggugat tidak mengajukan tuntutan tersebut secara tegas dalam petitum gugatan. Kondisi ini menjadi dasar utama tidak ditetapkannya kewajiban nafkah iddah dan mut’ah dalam amar putusan. Meskipun Pasal 149 Kompilasi Hukum Islam secara normatif mengatur hak tersebut, penerapannya tetap bergantung pada mekanisme gugatan. Hakim berpandangan bahwa penetapan kewajiban tanpa adanya tuntutan berpotensi melampaui kewenangan prosedural. Pertimbangan ini menunjukkan penerapan asas legalitas dalam hukum acara perdata. Hakim memilih untuk tetap berada dalam koridor kewenangan yang dimilikinya. Dengan demikian, tidak ditetapkannya nafkah iddah dan mut’ah merupakan konsekuensi yuridis. Putusan ini menegaskan keterikatan hakim pada struktur formil perkara.</w:t>
      </w:r>
    </w:p>
    <w:p w14:paraId="65813250" w14:textId="354BA916" w:rsidR="000D7F9B" w:rsidRPr="002C4448" w:rsidRDefault="000D7F9B" w:rsidP="00683AB1">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Pertimbangan tersebut mencerminkan penerapan asas ultra petita yang membatasi hakim untuk tidak memutus melebihi apa yang diminta para pihak. Asas ini merupakan prinsip fundamental dalam perkara perdata, termasuk sengketa keluarga di peradilan agama. Hakim dalam perkara ini menempatkan dirinya secara pasif dan tidak mengambil peran untuk menambah tuntutan. Sikap tersebut sejalan dengan prinsip bahwa hakim hanya mengadili berdasarkan dalil dan petitum yang diajukan. Dalam konteks cerai gugat, keterbatasan ini menjadi sangat signifikan karena seluruh konstruksi perkara ditentukan oleh penggugat. Akibatnya, perlindungan hak ekonomi pasca perceraian sangat bergantung pada ketepatan perumusan gugatan. Ketidakhadiran tuntutan berdampak langsung pada tidak adanya amar terkait hak tersebut. Hal ini menunjukkan pentingnya kesadaran hukum pencari keadilan.</w:t>
      </w:r>
    </w:p>
    <w:p w14:paraId="75F2CD22"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Meskipun nafkah iddah dan mut’ah tidak ditetapkan, Majelis Hakim tidak mengabaikan fakta kelalaian nafkah selama perkawinan. Fakta tersebut terungkap melalui keterangan para pihak dan alat bukti yang diajukan di persidangan. Hakim merujuk pada Pasal 34 ayat (1) Undang-Undang Nomor 1 Tahun 1974 dan Pasal 80 Kompilasi Hukum Islam sebagai dasar analisis. Ketentuan tersebut menegaskan bahwa pemenuhan nafkah merupakan kewajiban utama suami. Kelalaian nafkah dipandang sebagai pelanggaran kewajiban hukum. Selain itu, kelalaian tersebut dinilai berdampak langsung pada keharmonisan rumah tangga. Hakim menilai bahwa kondisi ini menjadi salah satu pemicu utama konflik. Dengan demikian, aspek nafkah tetap memiliki relevansi yuridis yang kuat.</w:t>
      </w:r>
    </w:p>
    <w:p w14:paraId="352F6DC5"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lastRenderedPageBreak/>
        <w:t>Pendekatan hakim menunjukkan bahwa pemenuhan nafkah iddah dan mut’ah tidak dipahami sebagai konsekuensi otomatis dari setiap perceraian. Hak-hak tersebut ditempatkan dalam kerangka prosedural cerai gugat yang menuntut adanya permintaan eksplisit. Dalam perspektif fiqh, Sayyid Sabiq menjelaskan bahwa mut’ah dan nafkah iddah berkaitan erat dengan bentuk perceraian serta tuntutan istri. Pandangan ini menunjukkan bahwa realisasi hak normatif sangat dipengaruhi oleh konteks hukum yang melingkupinya. Oleh karena itu, tidak ditetapkannya nafkah iddah dan mut’ah masih dapat dipahami secara fiqhiyah. Namun, dari sudut pandang perlindungan perempuan, kondisi ini menunjukkan adanya keterbatasan perlindungan hukum. Hak ekonomi pasca perceraian berpotensi tidak terpenuhi secara optimal. Dengan demikian, perumusan tuntutan yang komprehensif menjadi sangat penting.</w:t>
      </w:r>
    </w:p>
    <w:p w14:paraId="5A4EEEFD"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Dalam hal hadhanah, Majelis Hakim mempertimbangkan kondisi anak hasil perkawinan para pihak yang masih belum mumayyiz. Usia anak yang masih membutuhkan pengasuhan intensif menjadi pertimbangan utama dalam penentuan hak asuh. Penetapan hadhanah kepada ibu didasarkan pada Pasal 105 huruf (a) Kompilasi Hukum Islam. Ketentuan tersebut mencerminkan pandangan hukum Islam yang mengutamakan kebutuhan emosional dan psikologis anak. Hakim juga menilai bahwa selama ini anak berada dalam pengasuhan Penggugat. Lingkungan pengasuhan yang relatif stabil menjadi faktor pendukung keputusan tersebut. Fakta ini menunjukkan adanya kontinuitas pengasuhan yang penting bagi perkembangan anak. Oleh karena itu, penetapan hak asuh kepada ibu dinilai paling sesuai dengan kondisi faktual.</w:t>
      </w:r>
    </w:p>
    <w:p w14:paraId="45C510CD"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Selain dasar normatif, Majelis Hakim juga memperhatikan prinsip kepentingan terbaik bagi anak sebagai pertimbangan utama. Prinsip ini menempatkan kesejahteraan anak di atas kepentingan hukum orang tua. Hakim menilai bahwa stabilitas pengasuhan pasca perceraian merupakan faktor penting dalam menjaga kondisi psikologis anak. Kedekatan emosional antara anak dan ibu dipandang sebagai modal utama dalam proses tumbuh kembang. Pendekatan ini sejalan dengan teori perlindungan anak modern. Dalam praktik peradilan, prinsip ini menjadi landasan utama dalam perkara hadhanah. Hakim tidak terjebak pada formalitas hak orang tua semata. Dengan demikian, penetapan hadhanah diarahkan pada kemaslahatan anak.</w:t>
      </w:r>
    </w:p>
    <w:p w14:paraId="4CF1449F"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 xml:space="preserve">Dalam perspektif fiqh Islam, mayoritas ulama menempatkan ibu sebagai pihak yang lebih berhak mengasuh anak pada usia dini. Pandangan ini didasarkan pada asumsi bahwa ibu memiliki kemampuan lebih dalam memberikan kasih sayang dan perhatian. Tujuan utama hadhanah dalam hukum Islam adalah menjaga kesejahteraan anak secara menyeluruh. Oleh </w:t>
      </w:r>
      <w:r w:rsidRPr="000D7F9B">
        <w:rPr>
          <w:rFonts w:ascii="Cambria" w:eastAsia="Times New Roman" w:hAnsi="Cambria" w:cs="Times New Roman"/>
          <w:sz w:val="24"/>
          <w:szCs w:val="24"/>
          <w:lang w:eastAsia="id-ID"/>
        </w:rPr>
        <w:lastRenderedPageBreak/>
        <w:t>karena itu, hak asuh tidak dipahami sebagai hak absolut orang tua. Hadhanah dipandang sebagai amanah yang harus dijalankan dengan penuh tanggung jawab. Para ulama juga menegaskan bahwa hak asuh dapat berpindah apabila tidak lagi menjamin kemaslahatan anak. Orientasi utama hadhanah selalu terletak pada kepentingan anak. Pandangan ini memperkuat dasar pertimbangan hakim dalam perkara a quo.</w:t>
      </w:r>
    </w:p>
    <w:p w14:paraId="1A28E697"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Meskipun hak hadhanah diberikan kepada ibu, Majelis Hakim tetap menegaskan bahwa kewajiban nafkah anak berada pada ayah. Hal ini sesuai dengan Pasal 41 huruf (b) Undang-Undang Nomor 1 Tahun 1974 dan Pasal 156 huruf (d) Kompilasi Hukum Islam. Perceraian tidak menghapus tanggung jawab ayah terhadap pemenuhan kebutuhan anak. Namun, dalam perkara ini hakim tidak menetapkan besaran nafkah anak secara rinci. Tidak adanya tuntutan khusus mengenai nafkah anak menjadi faktor pembatas amar putusan. Hakim memilih untuk tidak melampaui kewenangan proseduralnya. Kondisi ini menunjukkan kembali pentingnya perumusan petitum yang tepat. Secara normatif, kewajiban nafkah anak tetap melekat pada ayah.</w:t>
      </w:r>
    </w:p>
    <w:p w14:paraId="1B3F0290"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Menurut Wahbah az-Zuhaili, kewajiban nafkah anak lahir dari hubungan nasab, bukan semata-mata dari ikatan perkawinan. Oleh karena itu, kewajiban tersebut tidak gugur meskipun terjadi perceraian. Ayah tetap bertanggung jawab memenuhi kebutuhan hidup anak, baik sandang, pangan, maupun pendidikan. Dalam konteks perkara ini, meskipun nafkah anak tidak dicantumkan secara eksplisit dalam amar putusan, kewajiban tersebut tetap melekat secara hukum. Putusan hakim lebih menitikberatkan pada penetapan status hukum hadhanah. Aspek teknis pemenuhan nafkah anak diserahkan pada tanggung jawab pihak ayah. Kondisi ini menunjukkan keterbatasan amar putusan akibat tidak adanya tuntutan. Namun, hak nafkah anak secara hukum tetap dapat dituntut kemudian.</w:t>
      </w:r>
    </w:p>
    <w:p w14:paraId="5485691D" w14:textId="77777777" w:rsidR="000D7F9B" w:rsidRPr="002C4448"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t>Menurut peneliti, pertimbangan hakim dalam perkara ini menunjukkan keseimbangan antara kepastian hukum dan kehati-hatian prosedural. Hakim secara konsisten membatasi diri pada tuntutan yang diajukan para pihak. Namun demikian, fakta-fakta penting seperti kelalaian nafkah dan kondisi anak tetap dianalisis secara mendalam. Tidak ditetapkannya nafkah iddah dan mut’ah mencerminkan keterikatan hakim pada hukum acara cerai gugat. Di sisi lain, penetapan hadhanah menunjukkan orientasi kuat pada kepentingan terbaik anak. Pertimbangan hakim tidak bersifat formalistik semata. Nilai keadilan substantif tetap diperhatikan dalam batas kewenangan yang dimiliki. Hal ini mencerminkan sensitivitas hakim terhadap aspek kemaslahatan.</w:t>
      </w:r>
    </w:p>
    <w:p w14:paraId="29BD8789" w14:textId="73385E45" w:rsidR="000D7F9B" w:rsidRPr="000D7F9B" w:rsidRDefault="000D7F9B" w:rsidP="002C4448">
      <w:pPr>
        <w:pBdr>
          <w:top w:val="nil"/>
          <w:left w:val="nil"/>
          <w:bottom w:val="nil"/>
          <w:right w:val="nil"/>
          <w:between w:val="nil"/>
        </w:pBdr>
        <w:spacing w:after="0"/>
        <w:ind w:left="426" w:firstLine="720"/>
        <w:jc w:val="both"/>
        <w:rPr>
          <w:rFonts w:ascii="Cambria" w:eastAsia="Times New Roman" w:hAnsi="Cambria" w:cs="Times New Roman"/>
          <w:sz w:val="24"/>
          <w:szCs w:val="24"/>
          <w:lang w:eastAsia="id-ID"/>
        </w:rPr>
      </w:pPr>
      <w:r w:rsidRPr="000D7F9B">
        <w:rPr>
          <w:rFonts w:ascii="Cambria" w:eastAsia="Times New Roman" w:hAnsi="Cambria" w:cs="Times New Roman"/>
          <w:sz w:val="24"/>
          <w:szCs w:val="24"/>
          <w:lang w:eastAsia="id-ID"/>
        </w:rPr>
        <w:lastRenderedPageBreak/>
        <w:t>Dengan demikian, pertimbangan hakim terkait pemenuhan nafkah iddah, mut’ah, dan hadhanah dalam Putusan Nomor 1096/Pdt.G/2025/PA.Pas. mencerminkan praktik peradilan agama yang kontekstual dan berhati-hati. Hakim menempatkan fakta persidangan dan tuntutan para pihak sebagai dasar utama dalam menjatuhkan putusan. Kepastian hukum tetap dijaga melalui kepatuhan pada hukum acara perdata. Pada saat yang sama, nilai keadilan dan kemaslahatan tetap diupayakan. Putusan ini menunjukkan bahwa perlindungan hak pasca perceraian sangat bergantung pada kesadaran hukum para pihak. Oleh karena itu, peran penasihat hukum dan edukasi hukum menjadi sangat penting. Secara keseluruhan, putusan ini menggambarkan penerapan hukum keluarga Islam yang berimbang antara norma, prosedur, dan realitas sosial.</w:t>
      </w:r>
    </w:p>
    <w:p w14:paraId="70C88181" w14:textId="62CC7404" w:rsidR="00CB7130" w:rsidRPr="002C4448" w:rsidRDefault="00CB7130" w:rsidP="00EF07ED">
      <w:pPr>
        <w:pBdr>
          <w:top w:val="nil"/>
          <w:left w:val="nil"/>
          <w:bottom w:val="nil"/>
          <w:right w:val="nil"/>
          <w:between w:val="nil"/>
        </w:pBdr>
        <w:spacing w:after="0"/>
        <w:jc w:val="both"/>
        <w:rPr>
          <w:rFonts w:ascii="Cambria" w:hAnsi="Cambria"/>
          <w:sz w:val="24"/>
          <w:szCs w:val="24"/>
        </w:rPr>
      </w:pPr>
    </w:p>
    <w:p w14:paraId="571D2BEC" w14:textId="14568193" w:rsidR="0011724A" w:rsidRPr="002C4448" w:rsidRDefault="007600A6" w:rsidP="002C4448">
      <w:pPr>
        <w:numPr>
          <w:ilvl w:val="0"/>
          <w:numId w:val="1"/>
        </w:numPr>
        <w:pBdr>
          <w:top w:val="nil"/>
          <w:left w:val="nil"/>
          <w:bottom w:val="nil"/>
          <w:right w:val="nil"/>
          <w:between w:val="nil"/>
        </w:pBdr>
        <w:spacing w:after="0"/>
        <w:ind w:left="284"/>
        <w:jc w:val="both"/>
        <w:rPr>
          <w:rFonts w:ascii="Cambria" w:eastAsia="Cambria" w:hAnsi="Cambria" w:cs="Cambria"/>
          <w:b/>
          <w:color w:val="000000"/>
          <w:sz w:val="24"/>
          <w:szCs w:val="24"/>
        </w:rPr>
      </w:pPr>
      <w:r w:rsidRPr="002C4448">
        <w:rPr>
          <w:rFonts w:ascii="Cambria" w:eastAsia="Cambria" w:hAnsi="Cambria" w:cs="Cambria"/>
          <w:b/>
          <w:color w:val="000000"/>
          <w:sz w:val="24"/>
          <w:szCs w:val="24"/>
        </w:rPr>
        <w:t xml:space="preserve">Simpulan  </w:t>
      </w:r>
    </w:p>
    <w:p w14:paraId="5BFF529A" w14:textId="3DF723A0" w:rsidR="001F537E" w:rsidRPr="002C4448" w:rsidRDefault="001F537E" w:rsidP="002C4448">
      <w:pPr>
        <w:pStyle w:val="NormalWeb"/>
        <w:numPr>
          <w:ilvl w:val="0"/>
          <w:numId w:val="11"/>
        </w:numPr>
        <w:spacing w:line="276" w:lineRule="auto"/>
        <w:ind w:left="284"/>
        <w:jc w:val="both"/>
        <w:rPr>
          <w:rFonts w:ascii="Cambria" w:hAnsi="Cambria"/>
        </w:rPr>
      </w:pPr>
      <w:r w:rsidRPr="002C4448">
        <w:rPr>
          <w:rFonts w:ascii="Cambria" w:hAnsi="Cambria"/>
        </w:rPr>
        <w:t xml:space="preserve">Berdasarkan hasil pembahasan, dapat disimpulkan bahwa pertimbangan Majelis Hakim dalam Putusan Nomor 1096/Pdt.G/2025/PA.Pas. </w:t>
      </w:r>
      <w:r w:rsidR="00CC5769">
        <w:rPr>
          <w:rFonts w:ascii="Cambria" w:hAnsi="Cambria"/>
        </w:rPr>
        <w:t>Didasarkan</w:t>
      </w:r>
      <w:r w:rsidRPr="002C4448">
        <w:rPr>
          <w:rFonts w:ascii="Cambria" w:hAnsi="Cambria"/>
        </w:rPr>
        <w:t xml:space="preserve"> pada pendekatan hukum yang integratif antara hukum positif dan hukum Islam. Hakim tidak memisahkan secara dikotomis peraturan perundang-undangan dengan Kompilasi Hukum Islam, melainkan memposisikannya sebagai satu kesatuan sistem hukum keluarga. Pendekatan ini terlihat sejak tahap penegasan kewenangan absolut hingga penilaian alasan perceraian. Penerapan Pasal 39 ayat (2) Undang-Undang Nomor 1 Tahun 1974 juncto Pasal 116 huruf (f) Kompilasi Hukum Islam menunjukkan bahwa hakim berpegang pada dasar hukum yang jelas dan relevan. Fakta perselisihan yang berlarut-larut serta kegagalan upaya perdamaian dinilai telah memenuhi unsur alasan perceraian. Hakim menilai bahwa tujuan perkawinan tidak lagi dapat diwujudkan. Dengan demikian, putusan cerai gugat tersebut memiliki legitimasi yuridis yang kuat. Pertimbangan ini menunjukkan konsistensi hakim dalam menerapkan asas legalitas.</w:t>
      </w:r>
    </w:p>
    <w:p w14:paraId="0890DF3B" w14:textId="77777777" w:rsidR="001F537E" w:rsidRPr="002C4448" w:rsidRDefault="001F537E" w:rsidP="002C4448">
      <w:pPr>
        <w:pStyle w:val="NormalWeb"/>
        <w:spacing w:line="276" w:lineRule="auto"/>
        <w:ind w:left="284" w:firstLine="720"/>
        <w:jc w:val="both"/>
        <w:rPr>
          <w:rFonts w:ascii="Cambria" w:hAnsi="Cambria"/>
        </w:rPr>
      </w:pPr>
      <w:r w:rsidRPr="002C4448">
        <w:rPr>
          <w:rFonts w:ascii="Cambria" w:hAnsi="Cambria"/>
        </w:rPr>
        <w:t xml:space="preserve">Selain itu, pertimbangan hakim juga menunjukkan orientasi pada kemaslahatan para pihak. Hakim tidak semata-mata terikat pada formalitas hukum, tetapi juga mempertimbangkan dampak sosial dan psikologis dari keberlanjutan perkawinan yang tidak harmonis. Konflik rumah tangga yang berkepanjangan dipandang berpotensi menimbulkan mudarat yang lebih besar apabila perkawinan dipertahankan. Oleh karena itu, perceraian diposisikan sebagai solusi hukum yang paling realistis. Pendekatan ini sejalan dengan tujuan hukum Islam yang mengedepankan kemaslahatan dan pencegahan kerugian. Dalam konteks ini, putusan hakim mencerminkan penerapan nilai keadilan </w:t>
      </w:r>
      <w:r w:rsidRPr="002C4448">
        <w:rPr>
          <w:rFonts w:ascii="Cambria" w:hAnsi="Cambria"/>
        </w:rPr>
        <w:lastRenderedPageBreak/>
        <w:t>substantif. Hakim berusaha menyeimbangkan kepastian hukum dengan rasa keadilan. Hal tersebut menunjukkan sensitivitas hakim terhadap realitas sosial para pihak. Dengan demikian, dasar hukum yang digunakan tidak bersifat kaku, melainkan kontekstual.</w:t>
      </w:r>
    </w:p>
    <w:p w14:paraId="637551FD" w14:textId="77777777" w:rsidR="001F537E" w:rsidRPr="002C4448" w:rsidRDefault="001F537E" w:rsidP="002C4448">
      <w:pPr>
        <w:pStyle w:val="NormalWeb"/>
        <w:spacing w:line="276" w:lineRule="auto"/>
        <w:ind w:left="284" w:firstLine="720"/>
        <w:jc w:val="both"/>
        <w:rPr>
          <w:rFonts w:ascii="Cambria" w:hAnsi="Cambria"/>
        </w:rPr>
      </w:pPr>
      <w:r w:rsidRPr="002C4448">
        <w:rPr>
          <w:rFonts w:ascii="Cambria" w:hAnsi="Cambria"/>
        </w:rPr>
        <w:t>Dari perspektif fiqh, pertimbangan hakim juga memiliki dasar yang dapat dipertanggungjawabkan. Perceraian memang dipandang sebagai perbuatan yang dibenci, namun tetap dibolehkan dalam kondisi tertentu. Para ulama sepakat bahwa perceraian dapat ditempuh apabila konflik tidak lagi dapat diselesaikan secara damai. Pandangan ini menempatkan perceraian sebagai jalan terakhir demi menghindari ketidakadilan yang lebih besar. Hakim dalam perkara ini telah menempatkan perceraian dalam kerangka tersebut. Dengan mempertimbangkan fakta persidangan, hakim menilai bahwa mempertahankan perkawinan justru akan memperpanjang penderitaan. Oleh karena itu, putusan cerai gugat tidak bertentangan dengan prinsip hukum Islam. Sebaliknya, putusan tersebut mencerminkan kehati-hatian dalam menjaga nilai keadilan. Hal ini menunjukkan bahwa dasar hukum pertimbangan hakim bersifat komprehensif dan berimbang.</w:t>
      </w:r>
    </w:p>
    <w:p w14:paraId="71B1C066" w14:textId="77777777" w:rsidR="005B3EA2" w:rsidRPr="002C4448" w:rsidRDefault="001F537E" w:rsidP="002C4448">
      <w:pPr>
        <w:pStyle w:val="NormalWeb"/>
        <w:numPr>
          <w:ilvl w:val="0"/>
          <w:numId w:val="11"/>
        </w:numPr>
        <w:spacing w:line="276" w:lineRule="auto"/>
        <w:ind w:left="284"/>
        <w:jc w:val="both"/>
        <w:rPr>
          <w:rFonts w:ascii="Cambria" w:hAnsi="Cambria"/>
        </w:rPr>
      </w:pPr>
      <w:r w:rsidRPr="002C4448">
        <w:rPr>
          <w:rFonts w:ascii="Cambria" w:hAnsi="Cambria"/>
        </w:rPr>
        <w:t>Dalam perkara ini, Majelis Hakim secara konsisten menerapkan prinsip hukum acara perdata, khususnya dalam konteks cerai gugat. Tidak ditetapkannya nafkah iddah dan mut’ah bukan disebabkan oleh pengabaian norma hukum Islam, melainkan karena tidak adanya tuntutan eksplisit dalam petitum gugatan. Hakim terikat pada asas ultra petita yang melarang pemutusan perkara melebihi apa yang diminta para pihak. Sikap ini menunjukkan kehati-hatian hakim dalam menjaga batas kewenangan proseduralnya. Dengan demikian, putusan mencerminkan kepastian hukum formil. Namun, kondisi ini juga menunjukkan bahwa perlindungan hak ekonomi pasca perceraian sangat bergantung pada ketepatan perumusan gugatan. Oleh karena itu, kesadaran hukum para pihak menjadi faktor yang sangat menentukan.</w:t>
      </w:r>
    </w:p>
    <w:p w14:paraId="78F42A61" w14:textId="77777777" w:rsidR="005B3EA2" w:rsidRPr="002C4448" w:rsidRDefault="001F537E" w:rsidP="00EF07ED">
      <w:pPr>
        <w:pStyle w:val="NormalWeb"/>
        <w:spacing w:line="276" w:lineRule="auto"/>
        <w:ind w:left="284" w:firstLine="436"/>
        <w:jc w:val="both"/>
        <w:rPr>
          <w:rFonts w:ascii="Cambria" w:hAnsi="Cambria"/>
        </w:rPr>
      </w:pPr>
      <w:r w:rsidRPr="002C4448">
        <w:rPr>
          <w:rFonts w:ascii="Cambria" w:hAnsi="Cambria"/>
        </w:rPr>
        <w:t xml:space="preserve">Meskipun nafkah iddah dan mut’ah tidak ditetapkan, hakim tetap mempertimbangkan fakta kelalaian nafkah selama perkawinan. Analisis terhadap Pasal 34 ayat (1) Undang-Undang Nomor 1 Tahun 1974 dan Pasal 80 Kompilasi Hukum Islam menunjukkan bahwa hakim tidak bersikap formalistik. Kelalaian nafkah dinilai sebagai pelanggaran kewajiban hukum suami dan menjadi salah satu penyebab utama konflik rumah tangga. Pertimbangan ini menunjukkan bahwa hakim tetap memperhatikan aspek keadilan substantif. Fakta material yang relevan tidak diabaikan meskipun tidak seluruhnya </w:t>
      </w:r>
      <w:r w:rsidRPr="002C4448">
        <w:rPr>
          <w:rFonts w:ascii="Cambria" w:hAnsi="Cambria"/>
        </w:rPr>
        <w:lastRenderedPageBreak/>
        <w:t>berimplikasi pada amar putusan. Hal ini mencerminkan adanya keseimbangan antara prosedur dan substansi. Hakim tetap mencatat dan menilai fakta penting yang terungkap di persidangan. Dengan demikian, pertimbangan hakim memiliki kedalaman yuridis dan sosiologis. Pendekatan ini menunjukkan profesionalitas hakim dalam menilai perkara keluarga.</w:t>
      </w:r>
    </w:p>
    <w:p w14:paraId="3CA8E877" w14:textId="5F4C1B42" w:rsidR="00870C62" w:rsidRDefault="001F537E" w:rsidP="00EF07ED">
      <w:pPr>
        <w:pStyle w:val="NormalWeb"/>
        <w:spacing w:line="276" w:lineRule="auto"/>
        <w:ind w:left="284" w:firstLine="436"/>
        <w:jc w:val="both"/>
        <w:rPr>
          <w:rFonts w:ascii="Cambria" w:hAnsi="Cambria"/>
        </w:rPr>
      </w:pPr>
      <w:r w:rsidRPr="002C4448">
        <w:rPr>
          <w:rFonts w:ascii="Cambria" w:hAnsi="Cambria"/>
        </w:rPr>
        <w:t>Dalam hal hadhanah, Majelis Hakim secara tegas mengutamakan kepentingan terbaik bagi anak. Penetapan hak asuh kepada ibu didasarkan pada ketentuan Kompilasi Hukum Islam dan fakta bahwa anak masih belum mumayyiz. Hakim menilai bahwa ibu lebih mampu memberikan pengasuhan yang stabil dan sesuai dengan kebutuhan anak. Pendekatan ini sejalan dengan prinsip perlindungan anak dalam hukum Islam dan hukum modern. Meskipun hak asuh diberikan kepada ibu, kewajiban nafkah anak tetap dibebankan kepada ayah. Tidak ditetapkannya besaran nafkah anak kembali menunjukkan keterikatan hakim pada tuntutan yang diajukan. Namun secara normatif, kewajiban tersebut tetap melekat dan dapat dituntut di kemudian hari. Dengan demikian, pertimbangan hakim menunjukkan orientasi kuat pada kemaslahatan anak. Secara keseluruhan, putusan ini mencerminkan praktik peradilan agama yang berhati-hati, kontekstual, dan berimbang antara norma, prosedur, dan keadilan.</w:t>
      </w:r>
    </w:p>
    <w:p w14:paraId="05BE992F" w14:textId="77777777" w:rsidR="00900706" w:rsidRPr="002C4448" w:rsidRDefault="00900706" w:rsidP="00EF07ED">
      <w:pPr>
        <w:pStyle w:val="NormalWeb"/>
        <w:spacing w:line="276" w:lineRule="auto"/>
        <w:ind w:left="284" w:firstLine="436"/>
        <w:jc w:val="both"/>
        <w:rPr>
          <w:rFonts w:ascii="Cambria" w:hAnsi="Cambria"/>
        </w:rPr>
      </w:pPr>
    </w:p>
    <w:p w14:paraId="6E464885" w14:textId="57B2EB97" w:rsidR="001B401D" w:rsidRPr="002C4448" w:rsidRDefault="007600A6" w:rsidP="002C4448">
      <w:pPr>
        <w:spacing w:after="0" w:line="240" w:lineRule="auto"/>
        <w:jc w:val="both"/>
        <w:rPr>
          <w:rFonts w:ascii="Cambria" w:eastAsia="Cambria" w:hAnsi="Cambria" w:cs="Cambria"/>
          <w:b/>
          <w:sz w:val="24"/>
          <w:szCs w:val="24"/>
        </w:rPr>
      </w:pPr>
      <w:r w:rsidRPr="002C4448">
        <w:rPr>
          <w:rFonts w:ascii="Cambria" w:eastAsia="Cambria" w:hAnsi="Cambria" w:cs="Cambria"/>
          <w:b/>
          <w:sz w:val="24"/>
          <w:szCs w:val="24"/>
        </w:rPr>
        <w:t xml:space="preserve">Daftar Rujukan </w:t>
      </w:r>
    </w:p>
    <w:p w14:paraId="74FE3CED" w14:textId="77777777" w:rsidR="009633D6" w:rsidRPr="002C4448" w:rsidRDefault="009633D6" w:rsidP="002C4448">
      <w:pPr>
        <w:spacing w:before="100" w:beforeAutospacing="1" w:after="100" w:afterAutospacing="1" w:line="240" w:lineRule="auto"/>
        <w:ind w:left="720" w:hanging="720"/>
        <w:jc w:val="both"/>
        <w:rPr>
          <w:rFonts w:ascii="Cambria" w:eastAsia="Times New Roman" w:hAnsi="Cambria" w:cs="Times New Roman"/>
          <w:sz w:val="24"/>
          <w:szCs w:val="24"/>
          <w:lang w:eastAsia="id-ID"/>
        </w:rPr>
      </w:pPr>
      <w:r w:rsidRPr="002C4448">
        <w:rPr>
          <w:rFonts w:ascii="Cambria" w:eastAsia="Times New Roman" w:hAnsi="Cambria" w:cs="Times New Roman"/>
          <w:sz w:val="24"/>
          <w:szCs w:val="24"/>
          <w:lang w:eastAsia="id-ID"/>
        </w:rPr>
        <w:t xml:space="preserve">Aliah, K. I., Sultan, L., &amp; Fatimah, F. (2021). </w:t>
      </w:r>
      <w:r w:rsidRPr="002C4448">
        <w:rPr>
          <w:rFonts w:ascii="Cambria" w:eastAsia="Times New Roman" w:hAnsi="Cambria" w:cs="Times New Roman"/>
          <w:i/>
          <w:iCs/>
          <w:sz w:val="24"/>
          <w:szCs w:val="24"/>
          <w:lang w:eastAsia="id-ID"/>
        </w:rPr>
        <w:t>Implikasi Dalam Pemberian Nafkah ‘Iddah dan Mut’ah pada Perkara Cerai Talak di Pengadilan Agama Makassar Kelas IA.</w:t>
      </w:r>
      <w:r w:rsidRPr="002C4448">
        <w:rPr>
          <w:rFonts w:ascii="Cambria" w:eastAsia="Times New Roman" w:hAnsi="Cambria" w:cs="Times New Roman"/>
          <w:sz w:val="24"/>
          <w:szCs w:val="24"/>
          <w:lang w:eastAsia="id-ID"/>
        </w:rPr>
        <w:t xml:space="preserve"> Jurnal Al-Qadau: Peradilan dan Hukum Keluarga Islam, 8(2). https://doi.org/10.24252/al-qadau.v8i2.22974</w:t>
      </w:r>
    </w:p>
    <w:p w14:paraId="587448E2" w14:textId="77777777" w:rsidR="009633D6" w:rsidRPr="002C4448" w:rsidRDefault="009633D6" w:rsidP="002C4448">
      <w:pPr>
        <w:spacing w:line="240" w:lineRule="auto"/>
        <w:ind w:left="720" w:hanging="720"/>
        <w:jc w:val="both"/>
        <w:rPr>
          <w:rFonts w:ascii="Cambria" w:hAnsi="Cambria" w:cs="Times New Roman"/>
          <w:color w:val="0000FF" w:themeColor="hyperlink"/>
          <w:sz w:val="24"/>
          <w:szCs w:val="24"/>
          <w:u w:val="single"/>
        </w:rPr>
      </w:pPr>
      <w:r w:rsidRPr="002C4448">
        <w:rPr>
          <w:rFonts w:ascii="Cambria" w:hAnsi="Cambria" w:cs="Times New Roman"/>
          <w:sz w:val="24"/>
          <w:szCs w:val="24"/>
        </w:rPr>
        <w:t xml:space="preserve">Amelia, F., Hasyim, M. S., &amp; Mursyid, B. T. (2024). </w:t>
      </w:r>
      <w:r w:rsidRPr="002C4448">
        <w:rPr>
          <w:rFonts w:ascii="Cambria" w:hAnsi="Cambria" w:cs="Times New Roman"/>
          <w:i/>
          <w:iCs/>
          <w:sz w:val="24"/>
          <w:szCs w:val="24"/>
        </w:rPr>
        <w:t>Implementasi pemberian nafkah iddah dan mut’ah berdasarkan strata sosial.</w:t>
      </w:r>
      <w:r w:rsidRPr="002C4448">
        <w:rPr>
          <w:rFonts w:ascii="Cambria" w:hAnsi="Cambria" w:cs="Times New Roman"/>
          <w:sz w:val="24"/>
          <w:szCs w:val="24"/>
        </w:rPr>
        <w:t> Comparativa. https://doi.org/10.24239/comparativa.v4i2.145</w:t>
      </w:r>
    </w:p>
    <w:p w14:paraId="001CD874" w14:textId="77777777" w:rsidR="009633D6" w:rsidRPr="002C4448" w:rsidRDefault="009633D6" w:rsidP="002C4448">
      <w:pPr>
        <w:spacing w:line="240" w:lineRule="auto"/>
        <w:ind w:left="720" w:hanging="720"/>
        <w:jc w:val="both"/>
        <w:rPr>
          <w:rStyle w:val="Hyperlink"/>
          <w:rFonts w:ascii="Cambria" w:hAnsi="Cambria" w:cs="Times New Roman"/>
          <w:sz w:val="24"/>
          <w:szCs w:val="24"/>
        </w:rPr>
      </w:pPr>
      <w:r w:rsidRPr="002C4448">
        <w:rPr>
          <w:rFonts w:ascii="Cambria" w:hAnsi="Cambria" w:cs="Times New Roman"/>
          <w:sz w:val="24"/>
          <w:szCs w:val="24"/>
        </w:rPr>
        <w:t xml:space="preserve">Ariani, T. B., Astawa, I. K., &amp; Koswara, I. Y. (2024). </w:t>
      </w:r>
      <w:r w:rsidRPr="002C4448">
        <w:rPr>
          <w:rFonts w:ascii="Cambria" w:hAnsi="Cambria" w:cs="Times New Roman"/>
          <w:i/>
          <w:iCs/>
          <w:sz w:val="24"/>
          <w:szCs w:val="24"/>
        </w:rPr>
        <w:t>Peran Dan Implementasi Pengadilan Agama Dalam Melindungi Hak-Hak Perempuan Dan Anak Pasca Perceraian Melalui Putusan Pengadilan Agama Sebagai Upaya Pertahanan Ekonomi Keluarga.</w:t>
      </w:r>
      <w:r w:rsidRPr="002C4448">
        <w:rPr>
          <w:rFonts w:ascii="Cambria" w:hAnsi="Cambria" w:cs="Times New Roman"/>
          <w:sz w:val="24"/>
          <w:szCs w:val="24"/>
        </w:rPr>
        <w:t> Arbiter. https://doi.org/10.31289/arbiter.v6i2.5170</w:t>
      </w:r>
    </w:p>
    <w:p w14:paraId="6DA87F27" w14:textId="77777777" w:rsidR="009633D6" w:rsidRPr="002C4448" w:rsidRDefault="009633D6" w:rsidP="002C4448">
      <w:pPr>
        <w:spacing w:line="240" w:lineRule="auto"/>
        <w:ind w:left="720" w:hanging="720"/>
        <w:jc w:val="both"/>
        <w:rPr>
          <w:rStyle w:val="Hyperlink"/>
          <w:rFonts w:ascii="Cambria" w:hAnsi="Cambria" w:cs="Times New Roman"/>
          <w:sz w:val="24"/>
          <w:szCs w:val="24"/>
        </w:rPr>
      </w:pPr>
      <w:r w:rsidRPr="002C4448">
        <w:rPr>
          <w:rFonts w:ascii="Cambria" w:hAnsi="Cambria" w:cs="Times New Roman"/>
          <w:sz w:val="24"/>
          <w:szCs w:val="24"/>
        </w:rPr>
        <w:t xml:space="preserve">Bukido, R., Azzochrah, N. A., Zakariah, A. A., &amp; Paikah, N. (2025). </w:t>
      </w:r>
      <w:r w:rsidRPr="002C4448">
        <w:rPr>
          <w:rFonts w:ascii="Cambria" w:hAnsi="Cambria" w:cs="Times New Roman"/>
          <w:i/>
          <w:iCs/>
          <w:sz w:val="24"/>
          <w:szCs w:val="24"/>
        </w:rPr>
        <w:t>Divorce Among Female Muslim Civil Servants: Legal Perspectives in Indonesia.</w:t>
      </w:r>
      <w:r w:rsidRPr="002C4448">
        <w:rPr>
          <w:rFonts w:ascii="Cambria" w:hAnsi="Cambria" w:cs="Times New Roman"/>
          <w:sz w:val="24"/>
          <w:szCs w:val="24"/>
        </w:rPr>
        <w:t xml:space="preserve"> Ijtihad: Jurnal </w:t>
      </w:r>
      <w:r w:rsidRPr="002C4448">
        <w:rPr>
          <w:rFonts w:ascii="Cambria" w:hAnsi="Cambria" w:cs="Times New Roman"/>
          <w:sz w:val="24"/>
          <w:szCs w:val="24"/>
        </w:rPr>
        <w:lastRenderedPageBreak/>
        <w:t>Wacana Hukum Islam Dan Kemanusiaan. https://doi.org/10.18326/ijtihad.v25i1.85-116</w:t>
      </w:r>
    </w:p>
    <w:p w14:paraId="7422F107" w14:textId="77777777" w:rsidR="009633D6" w:rsidRPr="002C4448" w:rsidRDefault="009633D6" w:rsidP="002C4448">
      <w:pPr>
        <w:spacing w:before="100" w:beforeAutospacing="1" w:after="100" w:afterAutospacing="1" w:line="240" w:lineRule="auto"/>
        <w:ind w:left="720" w:hanging="720"/>
        <w:jc w:val="both"/>
        <w:rPr>
          <w:rFonts w:ascii="Cambria" w:eastAsia="Times New Roman" w:hAnsi="Cambria" w:cs="Times New Roman"/>
          <w:sz w:val="24"/>
          <w:szCs w:val="24"/>
          <w:lang w:eastAsia="id-ID"/>
        </w:rPr>
      </w:pPr>
      <w:r w:rsidRPr="002C4448">
        <w:rPr>
          <w:rFonts w:ascii="Cambria" w:eastAsia="Times New Roman" w:hAnsi="Cambria" w:cs="Times New Roman"/>
          <w:sz w:val="24"/>
          <w:szCs w:val="24"/>
          <w:lang w:eastAsia="id-ID"/>
        </w:rPr>
        <w:t xml:space="preserve">Herman, N. R., Ilyas, M., &amp; Ishak, N. (2022). </w:t>
      </w:r>
      <w:r w:rsidRPr="002C4448">
        <w:rPr>
          <w:rFonts w:ascii="Cambria" w:eastAsia="Times New Roman" w:hAnsi="Cambria" w:cs="Times New Roman"/>
          <w:i/>
          <w:iCs/>
          <w:sz w:val="24"/>
          <w:szCs w:val="24"/>
          <w:lang w:eastAsia="id-ID"/>
        </w:rPr>
        <w:t>Pertimbangan Hakim dalam Menentukan Kadar Nafkah Madḥiyah, Nafkah ‘Iddah dan Mut’ah Terhadap Perkara Cerai Talak.</w:t>
      </w:r>
      <w:r w:rsidRPr="002C4448">
        <w:rPr>
          <w:rFonts w:ascii="Cambria" w:eastAsia="Times New Roman" w:hAnsi="Cambria" w:cs="Times New Roman"/>
          <w:sz w:val="24"/>
          <w:szCs w:val="24"/>
          <w:lang w:eastAsia="id-ID"/>
        </w:rPr>
        <w:t xml:space="preserve"> Qadauna: Jurnal Ilmiah Mahasiswa Hukum Keluarga Islam, 4(2). https://doi.org/10.24252/qadauna.v4i2.36874</w:t>
      </w:r>
    </w:p>
    <w:p w14:paraId="7B859D7D" w14:textId="77777777" w:rsidR="009633D6" w:rsidRPr="002C4448" w:rsidRDefault="009633D6" w:rsidP="002C4448">
      <w:pPr>
        <w:spacing w:line="240" w:lineRule="auto"/>
        <w:ind w:left="720" w:hanging="720"/>
        <w:jc w:val="both"/>
        <w:rPr>
          <w:rFonts w:ascii="Cambria" w:hAnsi="Cambria" w:cs="Times New Roman"/>
          <w:color w:val="0000FF" w:themeColor="hyperlink"/>
          <w:sz w:val="24"/>
          <w:szCs w:val="24"/>
          <w:u w:val="single"/>
        </w:rPr>
      </w:pPr>
      <w:r w:rsidRPr="002C4448">
        <w:rPr>
          <w:rFonts w:ascii="Cambria" w:hAnsi="Cambria" w:cs="Times New Roman"/>
          <w:sz w:val="24"/>
          <w:szCs w:val="24"/>
        </w:rPr>
        <w:t xml:space="preserve">Izzati, N. R. (2025). </w:t>
      </w:r>
      <w:r w:rsidRPr="002C4448">
        <w:rPr>
          <w:rFonts w:ascii="Cambria" w:hAnsi="Cambria" w:cs="Times New Roman"/>
          <w:i/>
          <w:iCs/>
          <w:sz w:val="24"/>
          <w:szCs w:val="24"/>
        </w:rPr>
        <w:t>Post-Divorce Mut’ah: The Reinforcement of Gender Hierarchies in the Practice of Religious Courts.</w:t>
      </w:r>
      <w:r w:rsidRPr="002C4448">
        <w:rPr>
          <w:rFonts w:ascii="Cambria" w:hAnsi="Cambria" w:cs="Times New Roman"/>
          <w:sz w:val="24"/>
          <w:szCs w:val="24"/>
        </w:rPr>
        <w:t> Deleted Journal. https://doi.org/10.30983/usraty.v3i1.8844</w:t>
      </w:r>
    </w:p>
    <w:p w14:paraId="4FF7BFAB" w14:textId="77777777" w:rsidR="009633D6" w:rsidRPr="002C4448" w:rsidRDefault="009633D6" w:rsidP="002C4448">
      <w:pPr>
        <w:spacing w:line="240" w:lineRule="auto"/>
        <w:ind w:left="720" w:hanging="720"/>
        <w:jc w:val="both"/>
        <w:rPr>
          <w:rStyle w:val="Hyperlink"/>
          <w:rFonts w:ascii="Cambria" w:hAnsi="Cambria" w:cs="Times New Roman"/>
          <w:sz w:val="24"/>
          <w:szCs w:val="24"/>
        </w:rPr>
      </w:pPr>
      <w:r w:rsidRPr="002C4448">
        <w:rPr>
          <w:rFonts w:ascii="Cambria" w:hAnsi="Cambria" w:cs="Times New Roman"/>
          <w:sz w:val="24"/>
          <w:szCs w:val="24"/>
        </w:rPr>
        <w:t>Izzuddin, A., Rofiq, A., &amp; Hapsin, A. (2021). </w:t>
      </w:r>
      <w:r w:rsidRPr="002C4448">
        <w:rPr>
          <w:rFonts w:ascii="Cambria" w:hAnsi="Cambria" w:cs="Times New Roman"/>
          <w:i/>
          <w:iCs/>
          <w:sz w:val="24"/>
          <w:szCs w:val="24"/>
        </w:rPr>
        <w:t>Revitalizing Divorce Ethical Values in Verstek Decisions in Religious Courts/Revitalisasi Nilai Etika Perceraian dalam Putusan Verstek Di Pengadilan Agama</w:t>
      </w:r>
      <w:r w:rsidRPr="002C4448">
        <w:rPr>
          <w:rFonts w:ascii="Cambria" w:hAnsi="Cambria" w:cs="Times New Roman"/>
          <w:sz w:val="24"/>
          <w:szCs w:val="24"/>
        </w:rPr>
        <w:t>. https://doi.org/10.18860/J-FSH.V13I1.12191</w:t>
      </w:r>
    </w:p>
    <w:p w14:paraId="6E80D551" w14:textId="77777777" w:rsidR="009633D6" w:rsidRPr="002C4448" w:rsidRDefault="009633D6" w:rsidP="002C4448">
      <w:pPr>
        <w:spacing w:line="240" w:lineRule="auto"/>
        <w:ind w:left="720" w:hanging="720"/>
        <w:jc w:val="both"/>
        <w:rPr>
          <w:rFonts w:ascii="Cambria" w:hAnsi="Cambria" w:cs="Times New Roman"/>
          <w:color w:val="0000FF" w:themeColor="hyperlink"/>
          <w:sz w:val="24"/>
          <w:szCs w:val="24"/>
          <w:u w:val="single"/>
        </w:rPr>
      </w:pPr>
      <w:r w:rsidRPr="002C4448">
        <w:rPr>
          <w:rFonts w:ascii="Cambria" w:hAnsi="Cambria" w:cs="Times New Roman"/>
          <w:sz w:val="24"/>
          <w:szCs w:val="24"/>
        </w:rPr>
        <w:t xml:space="preserve">Karmawan, K., Yunus, N. R., &amp; Matlail Fajar, A. S. (2025). </w:t>
      </w:r>
      <w:r w:rsidRPr="002C4448">
        <w:rPr>
          <w:rFonts w:ascii="Cambria" w:hAnsi="Cambria" w:cs="Times New Roman"/>
          <w:i/>
          <w:iCs/>
          <w:sz w:val="24"/>
          <w:szCs w:val="24"/>
        </w:rPr>
        <w:t>Legal Politics in the Codification of Islamic Marriage Between Normative and Socio-Philosophical Approaches. </w:t>
      </w:r>
      <w:r w:rsidRPr="002C4448">
        <w:rPr>
          <w:rFonts w:ascii="Cambria" w:hAnsi="Cambria" w:cs="Times New Roman"/>
          <w:sz w:val="24"/>
          <w:szCs w:val="24"/>
        </w:rPr>
        <w:t>International Journal of Social Science and Human Research. https://doi.org/10.47191/ijsshr/v8-i8-15</w:t>
      </w:r>
    </w:p>
    <w:p w14:paraId="5F84683B" w14:textId="77777777" w:rsidR="009633D6" w:rsidRPr="002C4448" w:rsidRDefault="009633D6" w:rsidP="002C4448">
      <w:pPr>
        <w:pStyle w:val="NormalWeb"/>
        <w:ind w:left="720" w:hanging="720"/>
        <w:jc w:val="both"/>
        <w:rPr>
          <w:rFonts w:ascii="Cambria" w:hAnsi="Cambria"/>
        </w:rPr>
      </w:pPr>
      <w:r w:rsidRPr="002C4448">
        <w:rPr>
          <w:rFonts w:ascii="Cambria" w:hAnsi="Cambria"/>
        </w:rPr>
        <w:t xml:space="preserve">Mahkamah Agung Republik Indonesia. (2025). </w:t>
      </w:r>
      <w:r w:rsidRPr="002C4448">
        <w:rPr>
          <w:rStyle w:val="Emphasis"/>
          <w:rFonts w:ascii="Cambria" w:hAnsi="Cambria"/>
        </w:rPr>
        <w:t>Putusan Pengadilan Agama Pasuruan Nomor 1096/Pdt.G/2025/PA.Pas. tentang cerai gugat</w:t>
      </w:r>
      <w:r w:rsidRPr="002C4448">
        <w:rPr>
          <w:rFonts w:ascii="Cambria" w:hAnsi="Cambria"/>
        </w:rPr>
        <w:t>. Direktori Putusan Mahkamah Agung Republik Indonesia.</w:t>
      </w:r>
    </w:p>
    <w:p w14:paraId="759F772C" w14:textId="77777777" w:rsidR="009633D6" w:rsidRPr="002C4448" w:rsidRDefault="009633D6" w:rsidP="002C4448">
      <w:pPr>
        <w:spacing w:line="240" w:lineRule="auto"/>
        <w:ind w:left="720" w:hanging="720"/>
        <w:jc w:val="both"/>
        <w:rPr>
          <w:rFonts w:ascii="Cambria" w:hAnsi="Cambria" w:cs="Times New Roman"/>
          <w:color w:val="0000FF" w:themeColor="hyperlink"/>
          <w:sz w:val="24"/>
          <w:szCs w:val="24"/>
          <w:u w:val="single"/>
        </w:rPr>
      </w:pPr>
      <w:r w:rsidRPr="002C4448">
        <w:rPr>
          <w:rFonts w:ascii="Cambria" w:hAnsi="Cambria" w:cs="Times New Roman"/>
          <w:sz w:val="24"/>
          <w:szCs w:val="24"/>
        </w:rPr>
        <w:t xml:space="preserve">Mera, N., Marzuki, M., B., M. T., Sapruddin, S., &amp; Cahyani, A. I. (2024). </w:t>
      </w:r>
      <w:r w:rsidRPr="002C4448">
        <w:rPr>
          <w:rFonts w:ascii="Cambria" w:hAnsi="Cambria" w:cs="Times New Roman"/>
          <w:i/>
          <w:iCs/>
          <w:sz w:val="24"/>
          <w:szCs w:val="24"/>
        </w:rPr>
        <w:t>Child Custody Rights for Mothers of Different Religions: Maqāṣid al-Sharī’ah Perspective on Islamic Family Law in Indonesia. Samarah :</w:t>
      </w:r>
      <w:r w:rsidRPr="002C4448">
        <w:rPr>
          <w:rFonts w:ascii="Cambria" w:hAnsi="Cambria" w:cs="Times New Roman"/>
          <w:sz w:val="24"/>
          <w:szCs w:val="24"/>
        </w:rPr>
        <w:t xml:space="preserve"> Jurnal Hukum Keluarga Dan Hukum Islam. https://doi.org/10.22373/sjhk.v8i3.23809</w:t>
      </w:r>
    </w:p>
    <w:p w14:paraId="01ABC7BA" w14:textId="77777777" w:rsidR="009633D6" w:rsidRPr="002540EE" w:rsidRDefault="009633D6" w:rsidP="0044751F">
      <w:pPr>
        <w:pStyle w:val="NormalWeb"/>
        <w:ind w:left="720" w:hanging="720"/>
        <w:jc w:val="both"/>
        <w:rPr>
          <w:rFonts w:eastAsiaTheme="majorEastAsia"/>
          <w:color w:val="0000FF" w:themeColor="hyperlink"/>
          <w:u w:val="single"/>
        </w:rPr>
      </w:pPr>
      <w:r>
        <w:t xml:space="preserve">Putri, D. N. K. (2022). </w:t>
      </w:r>
      <w:r>
        <w:rPr>
          <w:rStyle w:val="Emphasis"/>
        </w:rPr>
        <w:t>Pertimbangan hakim Pengadilan Agama Singaraja dalam penetapan nafkah iddah, nafkah mut’ah, dan eksekusinya pada putusan verstek cerai gugat</w:t>
      </w:r>
      <w:r>
        <w:t xml:space="preserve"> (tesis). Repositori UIN Malang. PDF: </w:t>
      </w:r>
      <w:r w:rsidRPr="002540EE">
        <w:rPr>
          <w:rFonts w:eastAsiaTheme="majorEastAsia"/>
        </w:rPr>
        <w:t>https://etheses.uin-malang.ac.id/42140/1/18210017.pdf</w:t>
      </w:r>
    </w:p>
    <w:p w14:paraId="3619DE0C" w14:textId="77777777" w:rsidR="009633D6" w:rsidRPr="002C4448" w:rsidRDefault="009633D6" w:rsidP="002C4448">
      <w:pPr>
        <w:spacing w:before="100" w:beforeAutospacing="1" w:after="100" w:afterAutospacing="1" w:line="240" w:lineRule="auto"/>
        <w:ind w:left="720" w:hanging="720"/>
        <w:jc w:val="both"/>
        <w:rPr>
          <w:rFonts w:ascii="Cambria" w:eastAsia="Times New Roman" w:hAnsi="Cambria" w:cs="Times New Roman"/>
          <w:sz w:val="24"/>
          <w:szCs w:val="24"/>
          <w:lang w:eastAsia="id-ID"/>
        </w:rPr>
      </w:pPr>
      <w:r w:rsidRPr="002C4448">
        <w:rPr>
          <w:rFonts w:ascii="Cambria" w:eastAsia="Times New Roman" w:hAnsi="Cambria" w:cs="Times New Roman"/>
          <w:sz w:val="24"/>
          <w:szCs w:val="24"/>
          <w:lang w:eastAsia="id-ID"/>
        </w:rPr>
        <w:t xml:space="preserve">Putri, D. N. K., &amp; Izzuddin, A. (2022). </w:t>
      </w:r>
      <w:r w:rsidRPr="002C4448">
        <w:rPr>
          <w:rFonts w:ascii="Cambria" w:eastAsia="Times New Roman" w:hAnsi="Cambria" w:cs="Times New Roman"/>
          <w:i/>
          <w:iCs/>
          <w:sz w:val="24"/>
          <w:szCs w:val="24"/>
          <w:lang w:eastAsia="id-ID"/>
        </w:rPr>
        <w:t>Pertimbangan Hakim Pengadilan Agama Singaraja Dalam Penetapan Nafkah ‘Iddah, Nafkah Mut’ah Dan Eksekusinya Pada Putusan Verstek Cerai Gugat.</w:t>
      </w:r>
      <w:r w:rsidRPr="002C4448">
        <w:rPr>
          <w:rFonts w:ascii="Cambria" w:eastAsia="Times New Roman" w:hAnsi="Cambria" w:cs="Times New Roman"/>
          <w:sz w:val="24"/>
          <w:szCs w:val="24"/>
          <w:lang w:eastAsia="id-ID"/>
        </w:rPr>
        <w:t xml:space="preserve"> Sakina: Journal of Family Studies, 7(1). https://doi.org/10.18860/jfs.v7i1.2518</w:t>
      </w:r>
    </w:p>
    <w:p w14:paraId="19684409" w14:textId="77777777" w:rsidR="009633D6" w:rsidRPr="002C4448" w:rsidRDefault="009633D6" w:rsidP="0044751F">
      <w:pPr>
        <w:pStyle w:val="NormalWeb"/>
        <w:ind w:left="720" w:hanging="720"/>
        <w:jc w:val="both"/>
        <w:rPr>
          <w:rFonts w:ascii="Cambria" w:hAnsi="Cambria"/>
        </w:rPr>
      </w:pPr>
      <w:r w:rsidRPr="002C4448">
        <w:rPr>
          <w:rFonts w:ascii="Cambria" w:hAnsi="Cambria"/>
        </w:rPr>
        <w:t xml:space="preserve">Ramdani, R., &amp; Syafitri, F. N. (2021). </w:t>
      </w:r>
      <w:r w:rsidRPr="002C4448">
        <w:rPr>
          <w:rStyle w:val="Emphasis"/>
          <w:rFonts w:ascii="Cambria" w:hAnsi="Cambria"/>
        </w:rPr>
        <w:t>Penentuan besaran nafkah madhiyah, nafkah iddah, dan mut’ah dalam perkara perceraian di Pengadilan Agama</w:t>
      </w:r>
      <w:r w:rsidRPr="002C4448">
        <w:rPr>
          <w:rFonts w:ascii="Cambria" w:hAnsi="Cambria"/>
        </w:rPr>
        <w:t xml:space="preserve">. Adliya: </w:t>
      </w:r>
      <w:r w:rsidRPr="002C4448">
        <w:rPr>
          <w:rFonts w:ascii="Cambria" w:hAnsi="Cambria"/>
        </w:rPr>
        <w:lastRenderedPageBreak/>
        <w:t xml:space="preserve">Jurnal Hukum dan Kemanusiaan, 15(1), 37–50. PDF: https://journal.uinsgd.ac.id/index.php/adliya/article/view/11874/pdf_1 </w:t>
      </w:r>
    </w:p>
    <w:p w14:paraId="317E6A22" w14:textId="77777777" w:rsidR="009633D6" w:rsidRPr="002C4448" w:rsidRDefault="009633D6" w:rsidP="002C4448">
      <w:pPr>
        <w:spacing w:before="100" w:beforeAutospacing="1" w:after="100" w:afterAutospacing="1" w:line="240" w:lineRule="auto"/>
        <w:ind w:left="720" w:hanging="720"/>
        <w:jc w:val="both"/>
        <w:rPr>
          <w:rStyle w:val="Hyperlink"/>
          <w:rFonts w:ascii="Cambria" w:eastAsia="Times New Roman" w:hAnsi="Cambria" w:cs="Times New Roman"/>
          <w:sz w:val="24"/>
          <w:szCs w:val="24"/>
          <w:lang w:eastAsia="id-ID"/>
        </w:rPr>
      </w:pPr>
      <w:r w:rsidRPr="002C4448">
        <w:rPr>
          <w:rFonts w:ascii="Cambria" w:eastAsia="Times New Roman" w:hAnsi="Cambria" w:cs="Times New Roman"/>
          <w:sz w:val="24"/>
          <w:szCs w:val="24"/>
          <w:lang w:eastAsia="id-ID"/>
        </w:rPr>
        <w:t xml:space="preserve">Riadi, A. T., &amp; Murjani, M. (2021). </w:t>
      </w:r>
      <w:r w:rsidRPr="002C4448">
        <w:rPr>
          <w:rFonts w:ascii="Cambria" w:eastAsia="Times New Roman" w:hAnsi="Cambria" w:cs="Times New Roman"/>
          <w:i/>
          <w:iCs/>
          <w:sz w:val="24"/>
          <w:szCs w:val="24"/>
          <w:lang w:eastAsia="id-ID"/>
        </w:rPr>
        <w:t>Nafkah ‘Iddah Dalam Perkara Perceraian di Pengadilan Agama Samarinda Perspektif Maṣlaḥah Murṣalah.</w:t>
      </w:r>
      <w:r w:rsidRPr="002C4448">
        <w:rPr>
          <w:rFonts w:ascii="Cambria" w:eastAsia="Times New Roman" w:hAnsi="Cambria" w:cs="Times New Roman"/>
          <w:sz w:val="24"/>
          <w:szCs w:val="24"/>
          <w:lang w:eastAsia="id-ID"/>
        </w:rPr>
        <w:t xml:space="preserve"> Mitsaq: Islamic Family Law Journal. https://doi.org/10.21093/jm.v1i2.5383</w:t>
      </w:r>
    </w:p>
    <w:p w14:paraId="59BA66ED" w14:textId="77777777" w:rsidR="009633D6" w:rsidRPr="002C4448" w:rsidRDefault="009633D6" w:rsidP="002C4448">
      <w:pPr>
        <w:spacing w:line="240" w:lineRule="auto"/>
        <w:ind w:left="720" w:hanging="720"/>
        <w:jc w:val="both"/>
        <w:rPr>
          <w:rStyle w:val="Hyperlink"/>
          <w:rFonts w:ascii="Cambria" w:hAnsi="Cambria" w:cs="Times New Roman"/>
          <w:sz w:val="24"/>
          <w:szCs w:val="24"/>
        </w:rPr>
      </w:pPr>
      <w:r w:rsidRPr="002C4448">
        <w:rPr>
          <w:rFonts w:ascii="Cambria" w:hAnsi="Cambria" w:cs="Times New Roman"/>
          <w:sz w:val="24"/>
          <w:szCs w:val="24"/>
        </w:rPr>
        <w:t xml:space="preserve">Ritonga, B., Mukhlas, O. S., Nurrohman, Burhanuddin, &amp; Ridwan, A. H. (2024). </w:t>
      </w:r>
      <w:r w:rsidRPr="002C4448">
        <w:rPr>
          <w:rFonts w:ascii="Cambria" w:hAnsi="Cambria" w:cs="Times New Roman"/>
          <w:i/>
          <w:iCs/>
          <w:sz w:val="24"/>
          <w:szCs w:val="24"/>
        </w:rPr>
        <w:t>Islamic Family Law Reform in Indonesia: A Review of the Supreme Court’s Decision on the Postponement of the Distribution of Joint Property.</w:t>
      </w:r>
      <w:r w:rsidRPr="002C4448">
        <w:rPr>
          <w:rFonts w:ascii="Cambria" w:hAnsi="Cambria" w:cs="Times New Roman"/>
          <w:sz w:val="24"/>
          <w:szCs w:val="24"/>
        </w:rPr>
        <w:t> Al Qadha. https://doi.org/10.32505/qadha.v11i2.9667</w:t>
      </w:r>
    </w:p>
    <w:p w14:paraId="5F0B845D" w14:textId="77777777" w:rsidR="009633D6" w:rsidRPr="002C4448" w:rsidRDefault="009633D6" w:rsidP="002C4448">
      <w:pPr>
        <w:spacing w:line="240" w:lineRule="auto"/>
        <w:ind w:left="720" w:hanging="720"/>
        <w:jc w:val="both"/>
        <w:rPr>
          <w:rFonts w:ascii="Cambria" w:hAnsi="Cambria" w:cs="Times New Roman"/>
          <w:color w:val="0000FF" w:themeColor="hyperlink"/>
          <w:sz w:val="24"/>
          <w:szCs w:val="24"/>
          <w:u w:val="single"/>
        </w:rPr>
      </w:pPr>
      <w:r w:rsidRPr="002C4448">
        <w:rPr>
          <w:rFonts w:ascii="Cambria" w:hAnsi="Cambria" w:cs="Times New Roman"/>
          <w:sz w:val="24"/>
          <w:szCs w:val="24"/>
        </w:rPr>
        <w:t xml:space="preserve">Safudin, E. (2022). </w:t>
      </w:r>
      <w:r w:rsidRPr="002C4448">
        <w:rPr>
          <w:rFonts w:ascii="Cambria" w:hAnsi="Cambria" w:cs="Times New Roman"/>
          <w:i/>
          <w:iCs/>
          <w:sz w:val="24"/>
          <w:szCs w:val="24"/>
        </w:rPr>
        <w:t>Analisis Normatif Putusan Hakim tentang Pemberian Iddah dan Mut’ah sebelum Ikrar Talak.</w:t>
      </w:r>
      <w:r w:rsidRPr="002C4448">
        <w:rPr>
          <w:rFonts w:ascii="Cambria" w:hAnsi="Cambria" w:cs="Times New Roman"/>
          <w:sz w:val="24"/>
          <w:szCs w:val="24"/>
        </w:rPr>
        <w:t> Jurnal Antologi Hukum. https://doi.org/10.21154/antologihukum.v2i2.1335</w:t>
      </w:r>
    </w:p>
    <w:p w14:paraId="7552B19C" w14:textId="77777777" w:rsidR="002C4448" w:rsidRPr="005B3EA2" w:rsidRDefault="002C4448" w:rsidP="00D01206">
      <w:pPr>
        <w:pStyle w:val="NormalWeb"/>
        <w:jc w:val="both"/>
      </w:pPr>
    </w:p>
    <w:sectPr w:rsidR="002C4448" w:rsidRPr="005B3EA2" w:rsidSect="00145166">
      <w:headerReference w:type="even" r:id="rId8"/>
      <w:headerReference w:type="default" r:id="rId9"/>
      <w:footerReference w:type="even" r:id="rId10"/>
      <w:footerReference w:type="default" r:id="rId11"/>
      <w:headerReference w:type="first" r:id="rId12"/>
      <w:footerReference w:type="first" r:id="rId13"/>
      <w:pgSz w:w="11906" w:h="16838"/>
      <w:pgMar w:top="2268" w:right="1701" w:bottom="2268" w:left="1701" w:header="1276" w:footer="1673" w:gutter="0"/>
      <w:pgNumType w:start="1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CE30A" w14:textId="77777777" w:rsidR="00401F1A" w:rsidRDefault="00401F1A">
      <w:pPr>
        <w:spacing w:after="0" w:line="240" w:lineRule="auto"/>
      </w:pPr>
      <w:r>
        <w:separator/>
      </w:r>
    </w:p>
  </w:endnote>
  <w:endnote w:type="continuationSeparator" w:id="0">
    <w:p w14:paraId="4D0D37EF" w14:textId="77777777" w:rsidR="00401F1A" w:rsidRDefault="0040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A13E7" w14:textId="4E931073" w:rsidR="00145166" w:rsidRDefault="00145166" w:rsidP="00145166">
    <w:pPr>
      <w:pStyle w:val="Footer"/>
    </w:pPr>
    <w:r>
      <w:rPr>
        <w:rFonts w:ascii="Bookman Old Style" w:eastAsia="Bookman Old Style" w:hAnsi="Bookman Old Style" w:cs="Bookman Old Style"/>
        <w:noProof/>
        <w:color w:val="000000"/>
      </w:rPr>
      <mc:AlternateContent>
        <mc:Choice Requires="wps">
          <w:drawing>
            <wp:anchor distT="0" distB="0" distL="114300" distR="114300" simplePos="0" relativeHeight="251669504" behindDoc="0" locked="0" layoutInCell="1" allowOverlap="1" wp14:anchorId="7AEAEF6E" wp14:editId="7501E523">
              <wp:simplePos x="0" y="0"/>
              <wp:positionH relativeFrom="margin">
                <wp:posOffset>0</wp:posOffset>
              </wp:positionH>
              <wp:positionV relativeFrom="paragraph">
                <wp:posOffset>-51435</wp:posOffset>
              </wp:positionV>
              <wp:extent cx="5391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12E3915" id="Straight Connector 3"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4.05pt" to="42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" strokecolor="#bc4542 [3045]">
              <w10:wrap anchorx="margin"/>
            </v:line>
          </w:pict>
        </mc:Fallback>
      </mc:AlternateContent>
    </w:r>
    <w:r>
      <w:rPr>
        <w:rFonts w:ascii="Bookman Old Style" w:eastAsia="Bookman Old Style" w:hAnsi="Bookman Old Style" w:cs="Bookman Old Style"/>
        <w:color w:val="000000"/>
      </w:rPr>
      <w:t xml:space="preserve">Hikmatina: </w:t>
    </w:r>
    <w:r>
      <w:rPr>
        <w:rFonts w:ascii="Bookman Old Style" w:eastAsia="Bookman Old Style" w:hAnsi="Bookman Old Style" w:cs="Bookman Old Style"/>
        <w:color w:val="000000"/>
        <w:sz w:val="20"/>
        <w:szCs w:val="20"/>
      </w:rPr>
      <w:t>Volume 8 Nomor 1 Tahun 2026</w:t>
    </w:r>
    <w:sdt>
      <w:sdtPr>
        <w:id w:val="-794133198"/>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p w14:paraId="43ABA0ED" w14:textId="2857AD8F" w:rsidR="0011724A" w:rsidRDefault="0011724A">
    <w:pPr>
      <w:pBdr>
        <w:top w:val="nil"/>
        <w:left w:val="nil"/>
        <w:bottom w:val="nil"/>
        <w:right w:val="nil"/>
        <w:between w:val="nil"/>
      </w:pBdr>
      <w:tabs>
        <w:tab w:val="right" w:pos="8504"/>
      </w:tabs>
      <w:spacing w:after="0" w:line="240" w:lineRule="auto"/>
      <w:rPr>
        <w:rFonts w:ascii="Bookman Old Style" w:eastAsia="Bookman Old Style" w:hAnsi="Bookman Old Style" w:cs="Bookman Old Styl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0566" w14:textId="2CFC3055" w:rsidR="00145166" w:rsidRDefault="00145166" w:rsidP="00145166">
    <w:pPr>
      <w:pStyle w:val="Footer"/>
    </w:pPr>
    <w:r>
      <w:rPr>
        <w:rFonts w:ascii="Bookman Old Style" w:eastAsia="Bookman Old Style" w:hAnsi="Bookman Old Style" w:cs="Bookman Old Style"/>
        <w:color w:val="000000"/>
      </w:rPr>
      <w:t xml:space="preserve">Hikmatina: </w:t>
    </w:r>
    <w:r>
      <w:rPr>
        <w:rFonts w:ascii="Bookman Old Style" w:eastAsia="Bookman Old Style" w:hAnsi="Bookman Old Style" w:cs="Bookman Old Style"/>
        <w:color w:val="000000"/>
        <w:sz w:val="20"/>
        <w:szCs w:val="20"/>
      </w:rPr>
      <w:t>Volume 8 Nomor 1 Tahun 2026</w:t>
    </w:r>
    <w:sdt>
      <w:sdtPr>
        <w:id w:val="-1298531201"/>
        <w:docPartObj>
          <w:docPartGallery w:val="Page Numbers (Bottom of Page)"/>
          <w:docPartUnique/>
        </w:docPartObj>
      </w:sdtPr>
      <w:sdtEndPr>
        <w:rPr>
          <w:noProof/>
        </w:rPr>
      </w:sdtEndPr>
      <w:sdtContent>
        <w:r>
          <w:tab/>
        </w:r>
        <w:r>
          <w:tab/>
        </w:r>
        <w:r>
          <w:rPr>
            <w:rFonts w:ascii="Bookman Old Style" w:eastAsia="Bookman Old Style" w:hAnsi="Bookman Old Style" w:cs="Bookman Old Style"/>
            <w:noProof/>
            <w:color w:val="000000"/>
          </w:rPr>
          <mc:AlternateContent>
            <mc:Choice Requires="wps">
              <w:drawing>
                <wp:anchor distT="0" distB="0" distL="114300" distR="114300" simplePos="0" relativeHeight="251667456" behindDoc="0" locked="0" layoutInCell="1" allowOverlap="1" wp14:anchorId="61D703B8" wp14:editId="10B697B1">
                  <wp:simplePos x="0" y="0"/>
                  <wp:positionH relativeFrom="margin">
                    <wp:posOffset>0</wp:posOffset>
                  </wp:positionH>
                  <wp:positionV relativeFrom="paragraph">
                    <wp:posOffset>-635</wp:posOffset>
                  </wp:positionV>
                  <wp:extent cx="53911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BA7CEDB" id="Straight Connector 10"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0,-.05pt" to="42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" strokecolor="#bc4542 [3045]">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sdtContent>
    </w:sdt>
  </w:p>
  <w:p w14:paraId="5D944139" w14:textId="1E51A880" w:rsidR="0011724A" w:rsidRDefault="0011724A">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2FED1" w14:textId="77777777" w:rsidR="0011724A" w:rsidRDefault="007600A6">
    <w:pPr>
      <w:spacing w:after="0" w:line="240" w:lineRule="auto"/>
      <w:jc w:val="both"/>
      <w:rPr>
        <w:rFonts w:ascii="Bookman Old Style" w:eastAsia="Bookman Old Style" w:hAnsi="Bookman Old Style" w:cs="Bookman Old Style"/>
        <w:sz w:val="20"/>
        <w:szCs w:val="20"/>
      </w:rPr>
    </w:pPr>
    <w:r>
      <w:rPr>
        <w:rFonts w:ascii="Bookman Old Style" w:eastAsia="Bookman Old Style" w:hAnsi="Bookman Old Style" w:cs="Bookman Old Style"/>
        <w:sz w:val="18"/>
        <w:szCs w:val="18"/>
      </w:rPr>
      <w:t xml:space="preserve">This work is licensed under Creative Commons Attribution Non Commercial 4.0 International License Available online on: </w:t>
    </w:r>
    <w:hyperlink r:id="rId1">
      <w:r>
        <w:rPr>
          <w:rFonts w:ascii="Bookman Old Style" w:eastAsia="Bookman Old Style" w:hAnsi="Bookman Old Style" w:cs="Bookman Old Style"/>
          <w:color w:val="0000FF"/>
          <w:sz w:val="18"/>
          <w:szCs w:val="18"/>
          <w:u w:val="single"/>
        </w:rPr>
        <w:t>http://riset.unisma.ac.id/index.php/fai/index</w:t>
      </w:r>
    </w:hyperlink>
    <w:r>
      <w:rPr>
        <w:rFonts w:ascii="Bookman Old Style" w:eastAsia="Bookman Old Style" w:hAnsi="Bookman Old Style" w:cs="Bookman Old Style"/>
        <w:sz w:val="20"/>
        <w:szCs w:val="20"/>
      </w:rPr>
      <w:t xml:space="preserve"> </w:t>
    </w:r>
    <w:r>
      <w:rPr>
        <w:noProof/>
      </w:rPr>
      <mc:AlternateContent>
        <mc:Choice Requires="wpg">
          <w:drawing>
            <wp:anchor distT="0" distB="0" distL="114300" distR="114300" simplePos="0" relativeHeight="251664384" behindDoc="0" locked="0" layoutInCell="1" hidden="0" allowOverlap="1" wp14:anchorId="6AC4140D" wp14:editId="7F421E7F">
              <wp:simplePos x="0" y="0"/>
              <wp:positionH relativeFrom="column">
                <wp:posOffset>1</wp:posOffset>
              </wp:positionH>
              <wp:positionV relativeFrom="paragraph">
                <wp:posOffset>-63499</wp:posOffset>
              </wp:positionV>
              <wp:extent cx="542226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634868" y="3780000"/>
                        <a:ext cx="5422265"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-63499</wp:posOffset>
              </wp:positionV>
              <wp:extent cx="5422265" cy="12700"/>
              <wp:effectExtent b="0" l="0" r="0" t="0"/>
              <wp:wrapNone/>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422265"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71A17" w14:textId="77777777" w:rsidR="00401F1A" w:rsidRDefault="00401F1A">
      <w:pPr>
        <w:spacing w:after="0" w:line="240" w:lineRule="auto"/>
      </w:pPr>
      <w:r>
        <w:separator/>
      </w:r>
    </w:p>
  </w:footnote>
  <w:footnote w:type="continuationSeparator" w:id="0">
    <w:p w14:paraId="281C56EE" w14:textId="77777777" w:rsidR="00401F1A" w:rsidRDefault="00401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34547" w14:textId="2198A4B6" w:rsidR="0011724A" w:rsidRDefault="007600A6">
    <w:pPr>
      <w:pBdr>
        <w:top w:val="nil"/>
        <w:left w:val="nil"/>
        <w:bottom w:val="nil"/>
        <w:right w:val="nil"/>
        <w:between w:val="nil"/>
      </w:pBdr>
      <w:tabs>
        <w:tab w:val="center" w:pos="4153"/>
        <w:tab w:val="right" w:pos="8306"/>
      </w:tabs>
      <w:spacing w:after="0" w:line="240" w:lineRule="auto"/>
      <w:rPr>
        <w:rFonts w:ascii="Bookman Old Style" w:eastAsia="Bookman Old Style" w:hAnsi="Bookman Old Style" w:cs="Bookman Old Style"/>
        <w:color w:val="000000"/>
      </w:rPr>
    </w:pPr>
    <w:r>
      <w:rPr>
        <w:noProof/>
      </w:rPr>
      <mc:AlternateContent>
        <mc:Choice Requires="wpg">
          <w:drawing>
            <wp:anchor distT="0" distB="0" distL="114300" distR="114300" simplePos="0" relativeHeight="251662336" behindDoc="0" locked="0" layoutInCell="1" hidden="0" allowOverlap="1" wp14:anchorId="12715D11" wp14:editId="220C0D26">
              <wp:simplePos x="0" y="0"/>
              <wp:positionH relativeFrom="column">
                <wp:posOffset>1</wp:posOffset>
              </wp:positionH>
              <wp:positionV relativeFrom="paragraph">
                <wp:posOffset>228600</wp:posOffset>
              </wp:positionV>
              <wp:extent cx="2433099"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29451" y="3780000"/>
                        <a:ext cx="2433099" cy="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2433099"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433099" cy="12700"/>
                      </a:xfrm>
                      <a:prstGeom prst="rect"/>
                      <a:ln/>
                    </pic:spPr>
                  </pic:pic>
                </a:graphicData>
              </a:graphic>
            </wp:anchor>
          </w:drawing>
        </mc:Fallback>
      </mc:AlternateContent>
    </w:r>
    <w:r w:rsidR="00207CF3">
      <w:rPr>
        <w:rFonts w:ascii="Bookman Old Style" w:eastAsia="Bookman Old Style" w:hAnsi="Bookman Old Style" w:cs="Bookman Old Style"/>
        <w:color w:val="000000"/>
      </w:rPr>
      <w:t>Muhammad Nur Ramadhan, Abdul Wafi, Khoirul Asfiyak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1437" w14:textId="300A618B" w:rsidR="0011724A" w:rsidRDefault="005D4EB0" w:rsidP="00CC5769">
    <w:pPr>
      <w:pBdr>
        <w:top w:val="nil"/>
        <w:left w:val="nil"/>
        <w:bottom w:val="nil"/>
        <w:right w:val="nil"/>
        <w:between w:val="nil"/>
      </w:pBdr>
      <w:tabs>
        <w:tab w:val="right" w:pos="8306"/>
      </w:tabs>
      <w:spacing w:after="0" w:line="240" w:lineRule="auto"/>
      <w:ind w:firstLine="567"/>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sidR="00870C62">
      <w:rPr>
        <w:rFonts w:ascii="Bookman Old Style" w:eastAsia="Bookman Old Style" w:hAnsi="Bookman Old Style" w:cs="Bookman Old Style"/>
        <w:color w:val="000000"/>
      </w:rPr>
      <w:t xml:space="preserve">Analisis </w:t>
    </w:r>
    <w:r w:rsidR="00207CF3">
      <w:rPr>
        <w:rFonts w:ascii="Bookman Old Style" w:eastAsia="Bookman Old Style" w:hAnsi="Bookman Old Style" w:cs="Bookman Old Style"/>
        <w:color w:val="000000"/>
      </w:rPr>
      <w:t>Yuridis Terhadap Pertimbangan Hakim Dalam Pemenuhan Nafkah Iddah, Mut’ah, dan Hadhanah Pasca Cerai gugat (Studi Kasus Putusan Nomor 1096/Pdt.G/2025/PA.Pas.)</w:t>
    </w:r>
  </w:p>
  <w:p w14:paraId="4E9333F5" w14:textId="194CCF04" w:rsidR="005D4EB0" w:rsidRPr="005D4EB0" w:rsidRDefault="00145166" w:rsidP="005D4EB0">
    <w:pPr>
      <w:pBdr>
        <w:top w:val="nil"/>
        <w:left w:val="nil"/>
        <w:bottom w:val="nil"/>
        <w:right w:val="nil"/>
        <w:between w:val="nil"/>
      </w:pBdr>
      <w:tabs>
        <w:tab w:val="center" w:pos="4153"/>
        <w:tab w:val="right" w:pos="8306"/>
      </w:tabs>
      <w:spacing w:after="0" w:line="240" w:lineRule="auto"/>
      <w:jc w:val="right"/>
      <w:rPr>
        <w:rFonts w:ascii="Bookman Old Style" w:eastAsia="Bookman Old Style" w:hAnsi="Bookman Old Style" w:cs="Bookman Old Style"/>
        <w:color w:val="000000"/>
      </w:rPr>
    </w:pPr>
    <w:r>
      <w:rPr>
        <w:noProof/>
      </w:rPr>
      <mc:AlternateContent>
        <mc:Choice Requires="wps">
          <w:drawing>
            <wp:anchor distT="0" distB="0" distL="114300" distR="114300" simplePos="0" relativeHeight="251658240" behindDoc="0" locked="0" layoutInCell="1" hidden="0" allowOverlap="1" wp14:anchorId="43613895" wp14:editId="533C4B0E">
              <wp:simplePos x="0" y="0"/>
              <wp:positionH relativeFrom="column">
                <wp:posOffset>2374900</wp:posOffset>
              </wp:positionH>
              <wp:positionV relativeFrom="paragraph">
                <wp:posOffset>73025</wp:posOffset>
              </wp:positionV>
              <wp:extent cx="294952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2949520" cy="12700"/>
                      </a:xfrm>
                      <a:prstGeom prst="straightConnector1">
                        <a:avLst/>
                      </a:prstGeom>
                      <a:noFill/>
                      <a:ln w="9525" cap="flat" cmpd="sng">
                        <a:solidFill>
                          <a:srgbClr val="BD4B48"/>
                        </a:solidFill>
                        <a:prstDash val="solid"/>
                        <a:round/>
                        <a:headEnd type="none" w="sm" len="sm"/>
                        <a:tailEnd type="none" w="sm" len="sm"/>
                      </a:ln>
                    </wps:spPr>
                    <wps:bodyPr/>
                  </wps:wsp>
                </a:graphicData>
              </a:graphic>
            </wp:anchor>
          </w:drawing>
        </mc:Choice>
        <mc:Fallback>
          <w:pict>
            <v:shapetype w14:anchorId="62AE312B" id="_x0000_t32" coordsize="21600,21600" o:spt="32" o:oned="t" path="m,l21600,21600e" filled="f">
              <v:path arrowok="t" fillok="f" o:connecttype="none"/>
              <o:lock v:ext="edit" shapetype="t"/>
            </v:shapetype>
            <v:shape id="Straight Arrow Connector 7" o:spid="_x0000_s1026" type="#_x0000_t32" style="position:absolute;margin-left:187pt;margin-top:5.75pt;width:232.2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" strokecolor="#bd4b48">
              <v:stroke startarrowwidth="narrow" startarrowlength="short" endarrowwidth="narrow" endarrowlength="shor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BB898" w14:textId="77777777" w:rsidR="0011724A" w:rsidRDefault="007600A6">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t>Hikmatina</w:t>
    </w:r>
    <w:r>
      <w:rPr>
        <w:rFonts w:ascii="Bookman Old Style" w:eastAsia="Bookman Old Style" w:hAnsi="Bookman Old Style" w:cs="Bookman Old Style"/>
        <w:color w:val="000000"/>
        <w:sz w:val="20"/>
        <w:szCs w:val="20"/>
      </w:rPr>
      <w:t>: Jurnal Ilmiah Hukum Keluarga Islam</w:t>
    </w:r>
    <w:r>
      <w:rPr>
        <w:noProof/>
      </w:rPr>
      <w:drawing>
        <wp:anchor distT="0" distB="0" distL="114300" distR="114300" simplePos="0" relativeHeight="251659264" behindDoc="0" locked="0" layoutInCell="1" hidden="0" allowOverlap="1" wp14:anchorId="05C4F392" wp14:editId="6FC0D930">
          <wp:simplePos x="0" y="0"/>
          <wp:positionH relativeFrom="column">
            <wp:posOffset>376555</wp:posOffset>
          </wp:positionH>
          <wp:positionV relativeFrom="paragraph">
            <wp:posOffset>-113028</wp:posOffset>
          </wp:positionV>
          <wp:extent cx="619200" cy="661037"/>
          <wp:effectExtent l="0" t="0" r="0" b="0"/>
          <wp:wrapNone/>
          <wp:docPr id="9" name="image1.png" descr="D:\kampus UNISMA\Jurnal Mahasiswa\New folder\Hikmatina (1).png"/>
          <wp:cNvGraphicFramePr/>
          <a:graphic xmlns:a="http://schemas.openxmlformats.org/drawingml/2006/main">
            <a:graphicData uri="http://schemas.openxmlformats.org/drawingml/2006/picture">
              <pic:pic xmlns:pic="http://schemas.openxmlformats.org/drawingml/2006/picture">
                <pic:nvPicPr>
                  <pic:cNvPr id="0" name="image1.png" descr="D:\kampus UNISMA\Jurnal Mahasiswa\New folder\Hikmatina (1).png"/>
                  <pic:cNvPicPr preferRelativeResize="0"/>
                </pic:nvPicPr>
                <pic:blipFill>
                  <a:blip r:embed="rId1"/>
                  <a:srcRect/>
                  <a:stretch>
                    <a:fillRect/>
                  </a:stretch>
                </pic:blipFill>
                <pic:spPr>
                  <a:xfrm>
                    <a:off x="0" y="0"/>
                    <a:ext cx="619200" cy="661037"/>
                  </a:xfrm>
                  <a:prstGeom prst="rect">
                    <a:avLst/>
                  </a:prstGeom>
                  <a:ln/>
                </pic:spPr>
              </pic:pic>
            </a:graphicData>
          </a:graphic>
        </wp:anchor>
      </w:drawing>
    </w:r>
  </w:p>
  <w:p w14:paraId="4D054F79" w14:textId="77777777" w:rsidR="0011724A" w:rsidRDefault="007600A6">
    <w:pPr>
      <w:pBdr>
        <w:top w:val="nil"/>
        <w:left w:val="nil"/>
        <w:bottom w:val="nil"/>
        <w:right w:val="nil"/>
        <w:between w:val="nil"/>
      </w:pBdr>
      <w:tabs>
        <w:tab w:val="center" w:pos="4153"/>
        <w:tab w:val="right" w:pos="8306"/>
      </w:tabs>
      <w:spacing w:after="0" w:line="240" w:lineRule="auto"/>
      <w:ind w:left="4395"/>
      <w:rPr>
        <w:rFonts w:ascii="Bookman Old Style" w:eastAsia="Bookman Old Style" w:hAnsi="Bookman Old Style" w:cs="Bookman Old Style"/>
        <w:color w:val="000000"/>
        <w:sz w:val="8"/>
        <w:szCs w:val="8"/>
      </w:rPr>
    </w:pPr>
    <w:r>
      <w:rPr>
        <w:noProof/>
      </w:rPr>
      <mc:AlternateContent>
        <mc:Choice Requires="wpg">
          <w:drawing>
            <wp:anchor distT="0" distB="0" distL="114300" distR="114300" simplePos="0" relativeHeight="251660288" behindDoc="0" locked="0" layoutInCell="1" hidden="0" allowOverlap="1" wp14:anchorId="54590CA2" wp14:editId="774688FA">
              <wp:simplePos x="0" y="0"/>
              <wp:positionH relativeFrom="column">
                <wp:posOffset>2070100</wp:posOffset>
              </wp:positionH>
              <wp:positionV relativeFrom="paragraph">
                <wp:posOffset>0</wp:posOffset>
              </wp:positionV>
              <wp:extent cx="3100705"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3795648" y="3780000"/>
                        <a:ext cx="310070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2070100</wp:posOffset>
              </wp:positionH>
              <wp:positionV relativeFrom="paragraph">
                <wp:posOffset>0</wp:posOffset>
              </wp:positionV>
              <wp:extent cx="3100705" cy="2857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00705" cy="28575"/>
                      </a:xfrm>
                      <a:prstGeom prst="rect"/>
                      <a:ln/>
                    </pic:spPr>
                  </pic:pic>
                </a:graphicData>
              </a:graphic>
            </wp:anchor>
          </w:drawing>
        </mc:Fallback>
      </mc:AlternateContent>
    </w:r>
  </w:p>
  <w:p w14:paraId="334FBC4C" w14:textId="77777777" w:rsidR="00EC1153" w:rsidRDefault="00EC1153" w:rsidP="00EC1153">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Volume </w:t>
    </w:r>
    <w:r>
      <w:rPr>
        <w:rFonts w:ascii="Bookman Old Style" w:eastAsia="Bookman Old Style" w:hAnsi="Bookman Old Style" w:cs="Bookman Old Style"/>
        <w:color w:val="000000"/>
        <w:sz w:val="20"/>
        <w:szCs w:val="20"/>
        <w:lang w:val="en-US"/>
      </w:rPr>
      <w:t>8</w:t>
    </w:r>
    <w:r>
      <w:rPr>
        <w:rFonts w:ascii="Bookman Old Style" w:eastAsia="Bookman Old Style" w:hAnsi="Bookman Old Style" w:cs="Bookman Old Style"/>
        <w:color w:val="000000"/>
        <w:sz w:val="20"/>
        <w:szCs w:val="20"/>
      </w:rPr>
      <w:t xml:space="preserve"> Nomor </w:t>
    </w:r>
    <w:r>
      <w:rPr>
        <w:rFonts w:ascii="Bookman Old Style" w:eastAsia="Bookman Old Style" w:hAnsi="Bookman Old Style" w:cs="Bookman Old Style"/>
        <w:color w:val="000000"/>
        <w:sz w:val="20"/>
        <w:szCs w:val="20"/>
        <w:lang w:val="en-US"/>
      </w:rPr>
      <w:t>1</w:t>
    </w:r>
    <w:r>
      <w:rPr>
        <w:rFonts w:ascii="Bookman Old Style" w:eastAsia="Bookman Old Style" w:hAnsi="Bookman Old Style" w:cs="Bookman Old Style"/>
        <w:color w:val="000000"/>
        <w:sz w:val="20"/>
        <w:szCs w:val="20"/>
      </w:rPr>
      <w:t xml:space="preserve"> Tahun 2026</w:t>
    </w:r>
  </w:p>
  <w:p w14:paraId="640A1B55" w14:textId="14F76BA1" w:rsidR="0011724A" w:rsidRDefault="00EC1153" w:rsidP="00EC1153">
    <w:pPr>
      <w:pBdr>
        <w:top w:val="nil"/>
        <w:left w:val="nil"/>
        <w:bottom w:val="nil"/>
        <w:right w:val="nil"/>
        <w:between w:val="nil"/>
      </w:pBdr>
      <w:tabs>
        <w:tab w:val="center" w:pos="4153"/>
        <w:tab w:val="right" w:pos="8306"/>
      </w:tabs>
      <w:spacing w:after="0" w:line="240" w:lineRule="auto"/>
      <w:ind w:left="3261"/>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e-ISSN: </w:t>
    </w:r>
    <w:r w:rsidRPr="00A15A69">
      <w:rPr>
        <w:rFonts w:ascii="Bookman Old Style" w:eastAsia="Bookman Old Style" w:hAnsi="Bookman Old Style" w:cs="Bookman Old Style"/>
        <w:color w:val="000000"/>
        <w:sz w:val="20"/>
        <w:szCs w:val="20"/>
      </w:rPr>
      <w:t>2655-8831</w:t>
    </w:r>
    <w:r w:rsidR="007600A6">
      <w:rPr>
        <w:rFonts w:ascii="Bookman Old Style" w:eastAsia="Bookman Old Style" w:hAnsi="Bookman Old Style" w:cs="Bookman Old Style"/>
        <w:color w:val="000000"/>
        <w:sz w:val="20"/>
        <w:szCs w:val="20"/>
      </w:rPr>
      <w:t xml:space="preserve"> </w:t>
    </w:r>
  </w:p>
  <w:p w14:paraId="72C7705B" w14:textId="77777777" w:rsidR="0011724A" w:rsidRDefault="007600A6">
    <w:pPr>
      <w:pBdr>
        <w:top w:val="nil"/>
        <w:left w:val="nil"/>
        <w:bottom w:val="nil"/>
        <w:right w:val="nil"/>
        <w:between w:val="nil"/>
      </w:pBdr>
      <w:tabs>
        <w:tab w:val="center" w:pos="4153"/>
        <w:tab w:val="right" w:pos="8306"/>
      </w:tabs>
      <w:spacing w:after="0" w:line="240" w:lineRule="auto"/>
      <w:rPr>
        <w:rFonts w:ascii="Bookman Old Style" w:eastAsia="Bookman Old Style" w:hAnsi="Bookman Old Style" w:cs="Bookman Old Style"/>
        <w:color w:val="000000"/>
        <w:sz w:val="12"/>
        <w:szCs w:val="12"/>
      </w:rPr>
    </w:pPr>
    <w:r>
      <w:rPr>
        <w:noProof/>
      </w:rPr>
      <mc:AlternateContent>
        <mc:Choice Requires="wpg">
          <w:drawing>
            <wp:anchor distT="0" distB="0" distL="114300" distR="114300" simplePos="0" relativeHeight="251661312" behindDoc="0" locked="0" layoutInCell="1" hidden="0" allowOverlap="1" wp14:anchorId="6801CEC3" wp14:editId="2865F711">
              <wp:simplePos x="0" y="0"/>
              <wp:positionH relativeFrom="column">
                <wp:posOffset>2070100</wp:posOffset>
              </wp:positionH>
              <wp:positionV relativeFrom="paragraph">
                <wp:posOffset>38100</wp:posOffset>
              </wp:positionV>
              <wp:extent cx="3090545" cy="28575"/>
              <wp:effectExtent l="0" t="0" r="0" b="0"/>
              <wp:wrapNone/>
              <wp:docPr id="8" name="Straight Arrow Connector 8"/>
              <wp:cNvGraphicFramePr/>
              <a:graphic xmlns:a="http://schemas.openxmlformats.org/drawingml/2006/main">
                <a:graphicData uri="http://schemas.microsoft.com/office/word/2010/wordprocessingShape">
                  <wps:wsp>
                    <wps:cNvCnPr/>
                    <wps:spPr>
                      <a:xfrm>
                        <a:off x="3800728" y="3780000"/>
                        <a:ext cx="3090545"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2070100</wp:posOffset>
              </wp:positionH>
              <wp:positionV relativeFrom="paragraph">
                <wp:posOffset>38100</wp:posOffset>
              </wp:positionV>
              <wp:extent cx="3090545" cy="28575"/>
              <wp:effectExtent b="0" l="0" r="0" t="0"/>
              <wp:wrapNone/>
              <wp:docPr id="8" name="image9.png"/>
              <a:graphic>
                <a:graphicData uri="http://schemas.openxmlformats.org/drawingml/2006/picture">
                  <pic:pic>
                    <pic:nvPicPr>
                      <pic:cNvPr id="0" name="image9.png"/>
                      <pic:cNvPicPr preferRelativeResize="0"/>
                    </pic:nvPicPr>
                    <pic:blipFill>
                      <a:blip r:embed="rId3"/>
                      <a:srcRect/>
                      <a:stretch>
                        <a:fillRect/>
                      </a:stretch>
                    </pic:blipFill>
                    <pic:spPr>
                      <a:xfrm>
                        <a:off x="0" y="0"/>
                        <a:ext cx="3090545"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44E6"/>
    <w:multiLevelType w:val="hybridMultilevel"/>
    <w:tmpl w:val="B9D6B7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843D6D"/>
    <w:multiLevelType w:val="hybridMultilevel"/>
    <w:tmpl w:val="8C0C36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0B25BD"/>
    <w:multiLevelType w:val="hybridMultilevel"/>
    <w:tmpl w:val="434AD75A"/>
    <w:lvl w:ilvl="0" w:tplc="6622C13A">
      <w:start w:val="1"/>
      <w:numFmt w:val="decimal"/>
      <w:lvlText w:val="%1."/>
      <w:lvlJc w:val="left"/>
      <w:pPr>
        <w:ind w:left="1287" w:hanging="360"/>
      </w:pPr>
      <w:rPr>
        <w:b/>
        <w:b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25EE44E3"/>
    <w:multiLevelType w:val="hybridMultilevel"/>
    <w:tmpl w:val="85DE0E9A"/>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26D72D10"/>
    <w:multiLevelType w:val="hybridMultilevel"/>
    <w:tmpl w:val="DF9859D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2C643F6D"/>
    <w:multiLevelType w:val="multilevel"/>
    <w:tmpl w:val="BE8EE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9B1FCE"/>
    <w:multiLevelType w:val="hybridMultilevel"/>
    <w:tmpl w:val="863AED48"/>
    <w:lvl w:ilvl="0" w:tplc="62140E9E">
      <w:start w:val="1"/>
      <w:numFmt w:val="decimal"/>
      <w:lvlText w:val="%1."/>
      <w:lvlJc w:val="left"/>
      <w:pPr>
        <w:ind w:left="1800" w:hanging="360"/>
      </w:pPr>
      <w:rPr>
        <w:rFonts w:ascii="Cambria" w:eastAsia="Cambria" w:hAnsi="Cambria" w:cs="Cambria"/>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3A9E0678"/>
    <w:multiLevelType w:val="multilevel"/>
    <w:tmpl w:val="9040759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F87D40"/>
    <w:multiLevelType w:val="hybridMultilevel"/>
    <w:tmpl w:val="66DA0F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F8936B4"/>
    <w:multiLevelType w:val="multilevel"/>
    <w:tmpl w:val="BA46B1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DD50A7"/>
    <w:multiLevelType w:val="hybridMultilevel"/>
    <w:tmpl w:val="AAA4F1A8"/>
    <w:lvl w:ilvl="0" w:tplc="77486D90">
      <w:start w:val="1"/>
      <w:numFmt w:val="decimal"/>
      <w:lvlText w:val="%1."/>
      <w:lvlJc w:val="left"/>
      <w:pPr>
        <w:ind w:left="4056" w:hanging="360"/>
      </w:pPr>
      <w:rPr>
        <w:b w:val="0"/>
        <w:bCs/>
      </w:rPr>
    </w:lvl>
    <w:lvl w:ilvl="1" w:tplc="04210019" w:tentative="1">
      <w:start w:val="1"/>
      <w:numFmt w:val="lowerLetter"/>
      <w:lvlText w:val="%2."/>
      <w:lvlJc w:val="left"/>
      <w:pPr>
        <w:ind w:left="4776" w:hanging="360"/>
      </w:pPr>
    </w:lvl>
    <w:lvl w:ilvl="2" w:tplc="0421001B" w:tentative="1">
      <w:start w:val="1"/>
      <w:numFmt w:val="lowerRoman"/>
      <w:lvlText w:val="%3."/>
      <w:lvlJc w:val="right"/>
      <w:pPr>
        <w:ind w:left="5496" w:hanging="180"/>
      </w:pPr>
    </w:lvl>
    <w:lvl w:ilvl="3" w:tplc="0421000F" w:tentative="1">
      <w:start w:val="1"/>
      <w:numFmt w:val="decimal"/>
      <w:lvlText w:val="%4."/>
      <w:lvlJc w:val="left"/>
      <w:pPr>
        <w:ind w:left="6216" w:hanging="360"/>
      </w:pPr>
    </w:lvl>
    <w:lvl w:ilvl="4" w:tplc="04210019" w:tentative="1">
      <w:start w:val="1"/>
      <w:numFmt w:val="lowerLetter"/>
      <w:lvlText w:val="%5."/>
      <w:lvlJc w:val="left"/>
      <w:pPr>
        <w:ind w:left="6936" w:hanging="360"/>
      </w:pPr>
    </w:lvl>
    <w:lvl w:ilvl="5" w:tplc="0421001B" w:tentative="1">
      <w:start w:val="1"/>
      <w:numFmt w:val="lowerRoman"/>
      <w:lvlText w:val="%6."/>
      <w:lvlJc w:val="right"/>
      <w:pPr>
        <w:ind w:left="7656" w:hanging="180"/>
      </w:pPr>
    </w:lvl>
    <w:lvl w:ilvl="6" w:tplc="0421000F" w:tentative="1">
      <w:start w:val="1"/>
      <w:numFmt w:val="decimal"/>
      <w:lvlText w:val="%7."/>
      <w:lvlJc w:val="left"/>
      <w:pPr>
        <w:ind w:left="8376" w:hanging="360"/>
      </w:pPr>
    </w:lvl>
    <w:lvl w:ilvl="7" w:tplc="04210019" w:tentative="1">
      <w:start w:val="1"/>
      <w:numFmt w:val="lowerLetter"/>
      <w:lvlText w:val="%8."/>
      <w:lvlJc w:val="left"/>
      <w:pPr>
        <w:ind w:left="9096" w:hanging="360"/>
      </w:pPr>
    </w:lvl>
    <w:lvl w:ilvl="8" w:tplc="0421001B" w:tentative="1">
      <w:start w:val="1"/>
      <w:numFmt w:val="lowerRoman"/>
      <w:lvlText w:val="%9."/>
      <w:lvlJc w:val="right"/>
      <w:pPr>
        <w:ind w:left="9816" w:hanging="180"/>
      </w:pPr>
    </w:lvl>
  </w:abstractNum>
  <w:num w:numId="1">
    <w:abstractNumId w:val="9"/>
  </w:num>
  <w:num w:numId="2">
    <w:abstractNumId w:val="7"/>
  </w:num>
  <w:num w:numId="3">
    <w:abstractNumId w:val="1"/>
  </w:num>
  <w:num w:numId="4">
    <w:abstractNumId w:val="8"/>
  </w:num>
  <w:num w:numId="5">
    <w:abstractNumId w:val="5"/>
  </w:num>
  <w:num w:numId="6">
    <w:abstractNumId w:val="6"/>
  </w:num>
  <w:num w:numId="7">
    <w:abstractNumId w:val="2"/>
  </w:num>
  <w:num w:numId="8">
    <w:abstractNumId w:val="0"/>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4A"/>
    <w:rsid w:val="00025EC6"/>
    <w:rsid w:val="000370FC"/>
    <w:rsid w:val="00043D0A"/>
    <w:rsid w:val="000C2C4B"/>
    <w:rsid w:val="000D2562"/>
    <w:rsid w:val="000D7F9B"/>
    <w:rsid w:val="0011724A"/>
    <w:rsid w:val="0012287B"/>
    <w:rsid w:val="00125D0A"/>
    <w:rsid w:val="0012659F"/>
    <w:rsid w:val="0013527C"/>
    <w:rsid w:val="001432FF"/>
    <w:rsid w:val="00145166"/>
    <w:rsid w:val="001459D6"/>
    <w:rsid w:val="00174D3E"/>
    <w:rsid w:val="0018139C"/>
    <w:rsid w:val="00184FE8"/>
    <w:rsid w:val="001A3CA3"/>
    <w:rsid w:val="001B2A7A"/>
    <w:rsid w:val="001B401D"/>
    <w:rsid w:val="001C310A"/>
    <w:rsid w:val="001D2F3D"/>
    <w:rsid w:val="001E2A6D"/>
    <w:rsid w:val="001F537E"/>
    <w:rsid w:val="00207CF3"/>
    <w:rsid w:val="00282227"/>
    <w:rsid w:val="002A138D"/>
    <w:rsid w:val="002C4448"/>
    <w:rsid w:val="0033325B"/>
    <w:rsid w:val="003622E0"/>
    <w:rsid w:val="00362927"/>
    <w:rsid w:val="003B0EDA"/>
    <w:rsid w:val="00401F1A"/>
    <w:rsid w:val="00405B35"/>
    <w:rsid w:val="00436187"/>
    <w:rsid w:val="00444422"/>
    <w:rsid w:val="0044751F"/>
    <w:rsid w:val="004504E1"/>
    <w:rsid w:val="00484A43"/>
    <w:rsid w:val="004925B2"/>
    <w:rsid w:val="00496E62"/>
    <w:rsid w:val="004D6201"/>
    <w:rsid w:val="004E3754"/>
    <w:rsid w:val="004F75FF"/>
    <w:rsid w:val="005014CF"/>
    <w:rsid w:val="00530F6B"/>
    <w:rsid w:val="00540FBF"/>
    <w:rsid w:val="005775BD"/>
    <w:rsid w:val="00587B69"/>
    <w:rsid w:val="005B3EA2"/>
    <w:rsid w:val="005D4EB0"/>
    <w:rsid w:val="00644121"/>
    <w:rsid w:val="00677F49"/>
    <w:rsid w:val="00683AB1"/>
    <w:rsid w:val="006908FF"/>
    <w:rsid w:val="0069378D"/>
    <w:rsid w:val="006D51FC"/>
    <w:rsid w:val="006F6513"/>
    <w:rsid w:val="00712569"/>
    <w:rsid w:val="007200EC"/>
    <w:rsid w:val="007600A6"/>
    <w:rsid w:val="007C2DA9"/>
    <w:rsid w:val="00805123"/>
    <w:rsid w:val="00821728"/>
    <w:rsid w:val="00822DDD"/>
    <w:rsid w:val="008706DE"/>
    <w:rsid w:val="00870C62"/>
    <w:rsid w:val="008853C8"/>
    <w:rsid w:val="008952C3"/>
    <w:rsid w:val="008A1B4A"/>
    <w:rsid w:val="008B791C"/>
    <w:rsid w:val="00900706"/>
    <w:rsid w:val="009028E4"/>
    <w:rsid w:val="00950D24"/>
    <w:rsid w:val="009633D6"/>
    <w:rsid w:val="00982DC2"/>
    <w:rsid w:val="009908BD"/>
    <w:rsid w:val="00990FF5"/>
    <w:rsid w:val="009A0338"/>
    <w:rsid w:val="009F69CC"/>
    <w:rsid w:val="00A2305F"/>
    <w:rsid w:val="00A417E5"/>
    <w:rsid w:val="00A9361F"/>
    <w:rsid w:val="00A97ED4"/>
    <w:rsid w:val="00AD703B"/>
    <w:rsid w:val="00AF1A5D"/>
    <w:rsid w:val="00AF4576"/>
    <w:rsid w:val="00B13A19"/>
    <w:rsid w:val="00B22ED3"/>
    <w:rsid w:val="00B24BAD"/>
    <w:rsid w:val="00B42B8D"/>
    <w:rsid w:val="00B57A6A"/>
    <w:rsid w:val="00B815CA"/>
    <w:rsid w:val="00B871B4"/>
    <w:rsid w:val="00B93819"/>
    <w:rsid w:val="00BC002D"/>
    <w:rsid w:val="00C019BB"/>
    <w:rsid w:val="00C10B2E"/>
    <w:rsid w:val="00C206FE"/>
    <w:rsid w:val="00C60E0D"/>
    <w:rsid w:val="00CA6884"/>
    <w:rsid w:val="00CB7130"/>
    <w:rsid w:val="00CC5769"/>
    <w:rsid w:val="00CC5D4A"/>
    <w:rsid w:val="00CF5D8E"/>
    <w:rsid w:val="00D01206"/>
    <w:rsid w:val="00D53749"/>
    <w:rsid w:val="00D67ED3"/>
    <w:rsid w:val="00D83851"/>
    <w:rsid w:val="00DC0197"/>
    <w:rsid w:val="00DD44E3"/>
    <w:rsid w:val="00DF48C9"/>
    <w:rsid w:val="00E05FF4"/>
    <w:rsid w:val="00E11248"/>
    <w:rsid w:val="00E902C5"/>
    <w:rsid w:val="00EC1153"/>
    <w:rsid w:val="00EC7479"/>
    <w:rsid w:val="00EE3BF9"/>
    <w:rsid w:val="00EF07ED"/>
    <w:rsid w:val="00F032ED"/>
    <w:rsid w:val="00F87BD8"/>
    <w:rsid w:val="00FA411B"/>
    <w:rsid w:val="00FB5249"/>
    <w:rsid w:val="00FE09FB"/>
    <w:rsid w:val="00FF67D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6CD99"/>
  <w15:docId w15:val="{7BB99F08-B07D-4F57-9058-11459927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902C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44121"/>
    <w:rPr>
      <w:color w:val="0000FF" w:themeColor="hyperlink"/>
      <w:u w:val="single"/>
    </w:rPr>
  </w:style>
  <w:style w:type="character" w:styleId="UnresolvedMention">
    <w:name w:val="Unresolved Mention"/>
    <w:basedOn w:val="DefaultParagraphFont"/>
    <w:uiPriority w:val="99"/>
    <w:semiHidden/>
    <w:unhideWhenUsed/>
    <w:rsid w:val="00644121"/>
    <w:rPr>
      <w:color w:val="605E5C"/>
      <w:shd w:val="clear" w:color="auto" w:fill="E1DFDD"/>
    </w:rPr>
  </w:style>
  <w:style w:type="paragraph" w:styleId="BodyText">
    <w:name w:val="Body Text"/>
    <w:basedOn w:val="Normal"/>
    <w:link w:val="BodyTextChar"/>
    <w:uiPriority w:val="99"/>
    <w:semiHidden/>
    <w:unhideWhenUsed/>
    <w:rsid w:val="00E902C5"/>
    <w:pPr>
      <w:spacing w:after="120"/>
    </w:pPr>
  </w:style>
  <w:style w:type="character" w:customStyle="1" w:styleId="BodyTextChar">
    <w:name w:val="Body Text Char"/>
    <w:basedOn w:val="DefaultParagraphFont"/>
    <w:link w:val="BodyText"/>
    <w:uiPriority w:val="99"/>
    <w:semiHidden/>
    <w:rsid w:val="00E902C5"/>
  </w:style>
  <w:style w:type="paragraph" w:styleId="BodyTextIndent">
    <w:name w:val="Body Text Indent"/>
    <w:basedOn w:val="Normal"/>
    <w:link w:val="BodyTextIndentChar"/>
    <w:uiPriority w:val="99"/>
    <w:semiHidden/>
    <w:unhideWhenUsed/>
    <w:rsid w:val="00E902C5"/>
    <w:pPr>
      <w:spacing w:after="120"/>
      <w:ind w:left="283"/>
    </w:pPr>
  </w:style>
  <w:style w:type="character" w:customStyle="1" w:styleId="BodyTextIndentChar">
    <w:name w:val="Body Text Indent Char"/>
    <w:basedOn w:val="DefaultParagraphFont"/>
    <w:link w:val="BodyTextIndent"/>
    <w:uiPriority w:val="99"/>
    <w:semiHidden/>
    <w:rsid w:val="00E902C5"/>
  </w:style>
  <w:style w:type="character" w:customStyle="1" w:styleId="Heading7Char">
    <w:name w:val="Heading 7 Char"/>
    <w:basedOn w:val="DefaultParagraphFont"/>
    <w:link w:val="Heading7"/>
    <w:uiPriority w:val="9"/>
    <w:semiHidden/>
    <w:rsid w:val="00E902C5"/>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D4EB0"/>
    <w:pPr>
      <w:ind w:left="720"/>
      <w:contextualSpacing/>
    </w:pPr>
  </w:style>
  <w:style w:type="paragraph" w:styleId="NoSpacing">
    <w:name w:val="No Spacing"/>
    <w:uiPriority w:val="1"/>
    <w:qFormat/>
    <w:rsid w:val="009908BD"/>
    <w:pPr>
      <w:spacing w:after="0" w:line="240" w:lineRule="auto"/>
    </w:pPr>
    <w:rPr>
      <w:rFonts w:asciiTheme="minorHAnsi" w:eastAsiaTheme="minorHAnsi" w:hAnsiTheme="minorHAnsi" w:cstheme="minorBidi"/>
      <w:lang w:val="en-ID" w:eastAsia="en-US"/>
    </w:rPr>
  </w:style>
  <w:style w:type="paragraph" w:styleId="NormalWeb">
    <w:name w:val="Normal (Web)"/>
    <w:basedOn w:val="Normal"/>
    <w:uiPriority w:val="99"/>
    <w:unhideWhenUsed/>
    <w:rsid w:val="0069378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C10B2E"/>
    <w:rPr>
      <w:i/>
      <w:iCs/>
    </w:rPr>
  </w:style>
  <w:style w:type="character" w:styleId="Strong">
    <w:name w:val="Strong"/>
    <w:basedOn w:val="DefaultParagraphFont"/>
    <w:uiPriority w:val="22"/>
    <w:qFormat/>
    <w:rsid w:val="001F537E"/>
    <w:rPr>
      <w:b/>
      <w:bCs/>
    </w:rPr>
  </w:style>
  <w:style w:type="character" w:customStyle="1" w:styleId="max-w-15ch">
    <w:name w:val="max-w-[15ch]"/>
    <w:basedOn w:val="DefaultParagraphFont"/>
    <w:rsid w:val="0044751F"/>
  </w:style>
  <w:style w:type="paragraph" w:styleId="Footer">
    <w:name w:val="footer"/>
    <w:basedOn w:val="Normal"/>
    <w:link w:val="FooterChar"/>
    <w:uiPriority w:val="99"/>
    <w:unhideWhenUsed/>
    <w:rsid w:val="00145166"/>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145166"/>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340564">
      <w:bodyDiv w:val="1"/>
      <w:marLeft w:val="0"/>
      <w:marRight w:val="0"/>
      <w:marTop w:val="0"/>
      <w:marBottom w:val="0"/>
      <w:divBdr>
        <w:top w:val="none" w:sz="0" w:space="0" w:color="auto"/>
        <w:left w:val="none" w:sz="0" w:space="0" w:color="auto"/>
        <w:bottom w:val="none" w:sz="0" w:space="0" w:color="auto"/>
        <w:right w:val="none" w:sz="0" w:space="0" w:color="auto"/>
      </w:divBdr>
      <w:divsChild>
        <w:div w:id="47732763">
          <w:marLeft w:val="0"/>
          <w:marRight w:val="0"/>
          <w:marTop w:val="0"/>
          <w:marBottom w:val="0"/>
          <w:divBdr>
            <w:top w:val="none" w:sz="0" w:space="0" w:color="auto"/>
            <w:left w:val="none" w:sz="0" w:space="0" w:color="auto"/>
            <w:bottom w:val="none" w:sz="0" w:space="0" w:color="auto"/>
            <w:right w:val="none" w:sz="0" w:space="0" w:color="auto"/>
          </w:divBdr>
          <w:divsChild>
            <w:div w:id="1383360075">
              <w:marLeft w:val="0"/>
              <w:marRight w:val="0"/>
              <w:marTop w:val="0"/>
              <w:marBottom w:val="0"/>
              <w:divBdr>
                <w:top w:val="none" w:sz="0" w:space="0" w:color="auto"/>
                <w:left w:val="none" w:sz="0" w:space="0" w:color="auto"/>
                <w:bottom w:val="none" w:sz="0" w:space="0" w:color="auto"/>
                <w:right w:val="none" w:sz="0" w:space="0" w:color="auto"/>
              </w:divBdr>
              <w:divsChild>
                <w:div w:id="1473251661">
                  <w:marLeft w:val="0"/>
                  <w:marRight w:val="0"/>
                  <w:marTop w:val="0"/>
                  <w:marBottom w:val="0"/>
                  <w:divBdr>
                    <w:top w:val="none" w:sz="0" w:space="0" w:color="auto"/>
                    <w:left w:val="none" w:sz="0" w:space="0" w:color="auto"/>
                    <w:bottom w:val="none" w:sz="0" w:space="0" w:color="auto"/>
                    <w:right w:val="none" w:sz="0" w:space="0" w:color="auto"/>
                  </w:divBdr>
                  <w:divsChild>
                    <w:div w:id="903182440">
                      <w:marLeft w:val="0"/>
                      <w:marRight w:val="0"/>
                      <w:marTop w:val="0"/>
                      <w:marBottom w:val="0"/>
                      <w:divBdr>
                        <w:top w:val="none" w:sz="0" w:space="0" w:color="auto"/>
                        <w:left w:val="none" w:sz="0" w:space="0" w:color="auto"/>
                        <w:bottom w:val="none" w:sz="0" w:space="0" w:color="auto"/>
                        <w:right w:val="none" w:sz="0" w:space="0" w:color="auto"/>
                      </w:divBdr>
                      <w:divsChild>
                        <w:div w:id="395251614">
                          <w:marLeft w:val="0"/>
                          <w:marRight w:val="0"/>
                          <w:marTop w:val="0"/>
                          <w:marBottom w:val="0"/>
                          <w:divBdr>
                            <w:top w:val="none" w:sz="0" w:space="0" w:color="auto"/>
                            <w:left w:val="none" w:sz="0" w:space="0" w:color="auto"/>
                            <w:bottom w:val="none" w:sz="0" w:space="0" w:color="auto"/>
                            <w:right w:val="none" w:sz="0" w:space="0" w:color="auto"/>
                          </w:divBdr>
                          <w:divsChild>
                            <w:div w:id="2017807456">
                              <w:marLeft w:val="0"/>
                              <w:marRight w:val="0"/>
                              <w:marTop w:val="0"/>
                              <w:marBottom w:val="0"/>
                              <w:divBdr>
                                <w:top w:val="none" w:sz="0" w:space="0" w:color="auto"/>
                                <w:left w:val="none" w:sz="0" w:space="0" w:color="auto"/>
                                <w:bottom w:val="none" w:sz="0" w:space="0" w:color="auto"/>
                                <w:right w:val="none" w:sz="0" w:space="0" w:color="auto"/>
                              </w:divBdr>
                              <w:divsChild>
                                <w:div w:id="3594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076736">
      <w:bodyDiv w:val="1"/>
      <w:marLeft w:val="0"/>
      <w:marRight w:val="0"/>
      <w:marTop w:val="0"/>
      <w:marBottom w:val="0"/>
      <w:divBdr>
        <w:top w:val="none" w:sz="0" w:space="0" w:color="auto"/>
        <w:left w:val="none" w:sz="0" w:space="0" w:color="auto"/>
        <w:bottom w:val="none" w:sz="0" w:space="0" w:color="auto"/>
        <w:right w:val="none" w:sz="0" w:space="0" w:color="auto"/>
      </w:divBdr>
      <w:divsChild>
        <w:div w:id="1499274186">
          <w:marLeft w:val="0"/>
          <w:marRight w:val="0"/>
          <w:marTop w:val="0"/>
          <w:marBottom w:val="0"/>
          <w:divBdr>
            <w:top w:val="none" w:sz="0" w:space="0" w:color="auto"/>
            <w:left w:val="none" w:sz="0" w:space="0" w:color="auto"/>
            <w:bottom w:val="none" w:sz="0" w:space="0" w:color="auto"/>
            <w:right w:val="none" w:sz="0" w:space="0" w:color="auto"/>
          </w:divBdr>
          <w:divsChild>
            <w:div w:id="1748263832">
              <w:marLeft w:val="0"/>
              <w:marRight w:val="0"/>
              <w:marTop w:val="0"/>
              <w:marBottom w:val="0"/>
              <w:divBdr>
                <w:top w:val="none" w:sz="0" w:space="0" w:color="auto"/>
                <w:left w:val="none" w:sz="0" w:space="0" w:color="auto"/>
                <w:bottom w:val="none" w:sz="0" w:space="0" w:color="auto"/>
                <w:right w:val="none" w:sz="0" w:space="0" w:color="auto"/>
              </w:divBdr>
              <w:divsChild>
                <w:div w:id="580287379">
                  <w:marLeft w:val="0"/>
                  <w:marRight w:val="0"/>
                  <w:marTop w:val="0"/>
                  <w:marBottom w:val="0"/>
                  <w:divBdr>
                    <w:top w:val="none" w:sz="0" w:space="0" w:color="auto"/>
                    <w:left w:val="none" w:sz="0" w:space="0" w:color="auto"/>
                    <w:bottom w:val="none" w:sz="0" w:space="0" w:color="auto"/>
                    <w:right w:val="none" w:sz="0" w:space="0" w:color="auto"/>
                  </w:divBdr>
                  <w:divsChild>
                    <w:div w:id="321080369">
                      <w:marLeft w:val="0"/>
                      <w:marRight w:val="0"/>
                      <w:marTop w:val="0"/>
                      <w:marBottom w:val="0"/>
                      <w:divBdr>
                        <w:top w:val="none" w:sz="0" w:space="0" w:color="auto"/>
                        <w:left w:val="none" w:sz="0" w:space="0" w:color="auto"/>
                        <w:bottom w:val="none" w:sz="0" w:space="0" w:color="auto"/>
                        <w:right w:val="none" w:sz="0" w:space="0" w:color="auto"/>
                      </w:divBdr>
                      <w:divsChild>
                        <w:div w:id="1877889213">
                          <w:marLeft w:val="0"/>
                          <w:marRight w:val="0"/>
                          <w:marTop w:val="0"/>
                          <w:marBottom w:val="0"/>
                          <w:divBdr>
                            <w:top w:val="none" w:sz="0" w:space="0" w:color="auto"/>
                            <w:left w:val="none" w:sz="0" w:space="0" w:color="auto"/>
                            <w:bottom w:val="none" w:sz="0" w:space="0" w:color="auto"/>
                            <w:right w:val="none" w:sz="0" w:space="0" w:color="auto"/>
                          </w:divBdr>
                          <w:divsChild>
                            <w:div w:id="1495340423">
                              <w:marLeft w:val="0"/>
                              <w:marRight w:val="0"/>
                              <w:marTop w:val="0"/>
                              <w:marBottom w:val="0"/>
                              <w:divBdr>
                                <w:top w:val="none" w:sz="0" w:space="0" w:color="auto"/>
                                <w:left w:val="none" w:sz="0" w:space="0" w:color="auto"/>
                                <w:bottom w:val="none" w:sz="0" w:space="0" w:color="auto"/>
                                <w:right w:val="none" w:sz="0" w:space="0" w:color="auto"/>
                              </w:divBdr>
                              <w:divsChild>
                                <w:div w:id="3022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037804">
      <w:bodyDiv w:val="1"/>
      <w:marLeft w:val="0"/>
      <w:marRight w:val="0"/>
      <w:marTop w:val="0"/>
      <w:marBottom w:val="0"/>
      <w:divBdr>
        <w:top w:val="none" w:sz="0" w:space="0" w:color="auto"/>
        <w:left w:val="none" w:sz="0" w:space="0" w:color="auto"/>
        <w:bottom w:val="none" w:sz="0" w:space="0" w:color="auto"/>
        <w:right w:val="none" w:sz="0" w:space="0" w:color="auto"/>
      </w:divBdr>
      <w:divsChild>
        <w:div w:id="754940227">
          <w:marLeft w:val="0"/>
          <w:marRight w:val="0"/>
          <w:marTop w:val="0"/>
          <w:marBottom w:val="0"/>
          <w:divBdr>
            <w:top w:val="none" w:sz="0" w:space="0" w:color="auto"/>
            <w:left w:val="none" w:sz="0" w:space="0" w:color="auto"/>
            <w:bottom w:val="none" w:sz="0" w:space="0" w:color="auto"/>
            <w:right w:val="none" w:sz="0" w:space="0" w:color="auto"/>
          </w:divBdr>
          <w:divsChild>
            <w:div w:id="1579826708">
              <w:marLeft w:val="0"/>
              <w:marRight w:val="0"/>
              <w:marTop w:val="0"/>
              <w:marBottom w:val="0"/>
              <w:divBdr>
                <w:top w:val="none" w:sz="0" w:space="0" w:color="auto"/>
                <w:left w:val="none" w:sz="0" w:space="0" w:color="auto"/>
                <w:bottom w:val="none" w:sz="0" w:space="0" w:color="auto"/>
                <w:right w:val="none" w:sz="0" w:space="0" w:color="auto"/>
              </w:divBdr>
              <w:divsChild>
                <w:div w:id="1034110146">
                  <w:marLeft w:val="0"/>
                  <w:marRight w:val="0"/>
                  <w:marTop w:val="0"/>
                  <w:marBottom w:val="0"/>
                  <w:divBdr>
                    <w:top w:val="none" w:sz="0" w:space="0" w:color="auto"/>
                    <w:left w:val="none" w:sz="0" w:space="0" w:color="auto"/>
                    <w:bottom w:val="none" w:sz="0" w:space="0" w:color="auto"/>
                    <w:right w:val="none" w:sz="0" w:space="0" w:color="auto"/>
                  </w:divBdr>
                  <w:divsChild>
                    <w:div w:id="721169953">
                      <w:marLeft w:val="0"/>
                      <w:marRight w:val="0"/>
                      <w:marTop w:val="0"/>
                      <w:marBottom w:val="0"/>
                      <w:divBdr>
                        <w:top w:val="none" w:sz="0" w:space="0" w:color="auto"/>
                        <w:left w:val="none" w:sz="0" w:space="0" w:color="auto"/>
                        <w:bottom w:val="none" w:sz="0" w:space="0" w:color="auto"/>
                        <w:right w:val="none" w:sz="0" w:space="0" w:color="auto"/>
                      </w:divBdr>
                      <w:divsChild>
                        <w:div w:id="686716680">
                          <w:marLeft w:val="0"/>
                          <w:marRight w:val="0"/>
                          <w:marTop w:val="0"/>
                          <w:marBottom w:val="0"/>
                          <w:divBdr>
                            <w:top w:val="none" w:sz="0" w:space="0" w:color="auto"/>
                            <w:left w:val="none" w:sz="0" w:space="0" w:color="auto"/>
                            <w:bottom w:val="none" w:sz="0" w:space="0" w:color="auto"/>
                            <w:right w:val="none" w:sz="0" w:space="0" w:color="auto"/>
                          </w:divBdr>
                          <w:divsChild>
                            <w:div w:id="997808038">
                              <w:marLeft w:val="0"/>
                              <w:marRight w:val="0"/>
                              <w:marTop w:val="0"/>
                              <w:marBottom w:val="0"/>
                              <w:divBdr>
                                <w:top w:val="none" w:sz="0" w:space="0" w:color="auto"/>
                                <w:left w:val="none" w:sz="0" w:space="0" w:color="auto"/>
                                <w:bottom w:val="none" w:sz="0" w:space="0" w:color="auto"/>
                                <w:right w:val="none" w:sz="0" w:space="0" w:color="auto"/>
                              </w:divBdr>
                              <w:divsChild>
                                <w:div w:id="1118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055875">
      <w:bodyDiv w:val="1"/>
      <w:marLeft w:val="0"/>
      <w:marRight w:val="0"/>
      <w:marTop w:val="0"/>
      <w:marBottom w:val="0"/>
      <w:divBdr>
        <w:top w:val="none" w:sz="0" w:space="0" w:color="auto"/>
        <w:left w:val="none" w:sz="0" w:space="0" w:color="auto"/>
        <w:bottom w:val="none" w:sz="0" w:space="0" w:color="auto"/>
        <w:right w:val="none" w:sz="0" w:space="0" w:color="auto"/>
      </w:divBdr>
    </w:div>
    <w:div w:id="1002321710">
      <w:bodyDiv w:val="1"/>
      <w:marLeft w:val="0"/>
      <w:marRight w:val="0"/>
      <w:marTop w:val="0"/>
      <w:marBottom w:val="0"/>
      <w:divBdr>
        <w:top w:val="none" w:sz="0" w:space="0" w:color="auto"/>
        <w:left w:val="none" w:sz="0" w:space="0" w:color="auto"/>
        <w:bottom w:val="none" w:sz="0" w:space="0" w:color="auto"/>
        <w:right w:val="none" w:sz="0" w:space="0" w:color="auto"/>
      </w:divBdr>
    </w:div>
    <w:div w:id="1042755777">
      <w:bodyDiv w:val="1"/>
      <w:marLeft w:val="0"/>
      <w:marRight w:val="0"/>
      <w:marTop w:val="0"/>
      <w:marBottom w:val="0"/>
      <w:divBdr>
        <w:top w:val="none" w:sz="0" w:space="0" w:color="auto"/>
        <w:left w:val="none" w:sz="0" w:space="0" w:color="auto"/>
        <w:bottom w:val="none" w:sz="0" w:space="0" w:color="auto"/>
        <w:right w:val="none" w:sz="0" w:space="0" w:color="auto"/>
      </w:divBdr>
    </w:div>
    <w:div w:id="1160267102">
      <w:bodyDiv w:val="1"/>
      <w:marLeft w:val="0"/>
      <w:marRight w:val="0"/>
      <w:marTop w:val="0"/>
      <w:marBottom w:val="0"/>
      <w:divBdr>
        <w:top w:val="none" w:sz="0" w:space="0" w:color="auto"/>
        <w:left w:val="none" w:sz="0" w:space="0" w:color="auto"/>
        <w:bottom w:val="none" w:sz="0" w:space="0" w:color="auto"/>
        <w:right w:val="none" w:sz="0" w:space="0" w:color="auto"/>
      </w:divBdr>
    </w:div>
    <w:div w:id="1259677267">
      <w:bodyDiv w:val="1"/>
      <w:marLeft w:val="0"/>
      <w:marRight w:val="0"/>
      <w:marTop w:val="0"/>
      <w:marBottom w:val="0"/>
      <w:divBdr>
        <w:top w:val="none" w:sz="0" w:space="0" w:color="auto"/>
        <w:left w:val="none" w:sz="0" w:space="0" w:color="auto"/>
        <w:bottom w:val="none" w:sz="0" w:space="0" w:color="auto"/>
        <w:right w:val="none" w:sz="0" w:space="0" w:color="auto"/>
      </w:divBdr>
    </w:div>
    <w:div w:id="1273244578">
      <w:bodyDiv w:val="1"/>
      <w:marLeft w:val="0"/>
      <w:marRight w:val="0"/>
      <w:marTop w:val="0"/>
      <w:marBottom w:val="0"/>
      <w:divBdr>
        <w:top w:val="none" w:sz="0" w:space="0" w:color="auto"/>
        <w:left w:val="none" w:sz="0" w:space="0" w:color="auto"/>
        <w:bottom w:val="none" w:sz="0" w:space="0" w:color="auto"/>
        <w:right w:val="none" w:sz="0" w:space="0" w:color="auto"/>
      </w:divBdr>
    </w:div>
    <w:div w:id="1460759198">
      <w:bodyDiv w:val="1"/>
      <w:marLeft w:val="0"/>
      <w:marRight w:val="0"/>
      <w:marTop w:val="0"/>
      <w:marBottom w:val="0"/>
      <w:divBdr>
        <w:top w:val="none" w:sz="0" w:space="0" w:color="auto"/>
        <w:left w:val="none" w:sz="0" w:space="0" w:color="auto"/>
        <w:bottom w:val="none" w:sz="0" w:space="0" w:color="auto"/>
        <w:right w:val="none" w:sz="0" w:space="0" w:color="auto"/>
      </w:divBdr>
    </w:div>
    <w:div w:id="1862550072">
      <w:bodyDiv w:val="1"/>
      <w:marLeft w:val="0"/>
      <w:marRight w:val="0"/>
      <w:marTop w:val="0"/>
      <w:marBottom w:val="0"/>
      <w:divBdr>
        <w:top w:val="none" w:sz="0" w:space="0" w:color="auto"/>
        <w:left w:val="none" w:sz="0" w:space="0" w:color="auto"/>
        <w:bottom w:val="none" w:sz="0" w:space="0" w:color="auto"/>
        <w:right w:val="none" w:sz="0" w:space="0" w:color="auto"/>
      </w:divBdr>
    </w:div>
    <w:div w:id="1928808666">
      <w:bodyDiv w:val="1"/>
      <w:marLeft w:val="0"/>
      <w:marRight w:val="0"/>
      <w:marTop w:val="0"/>
      <w:marBottom w:val="0"/>
      <w:divBdr>
        <w:top w:val="none" w:sz="0" w:space="0" w:color="auto"/>
        <w:left w:val="none" w:sz="0" w:space="0" w:color="auto"/>
        <w:bottom w:val="none" w:sz="0" w:space="0" w:color="auto"/>
        <w:right w:val="none" w:sz="0" w:space="0" w:color="auto"/>
      </w:divBdr>
    </w:div>
    <w:div w:id="2002927529">
      <w:bodyDiv w:val="1"/>
      <w:marLeft w:val="0"/>
      <w:marRight w:val="0"/>
      <w:marTop w:val="0"/>
      <w:marBottom w:val="0"/>
      <w:divBdr>
        <w:top w:val="none" w:sz="0" w:space="0" w:color="auto"/>
        <w:left w:val="none" w:sz="0" w:space="0" w:color="auto"/>
        <w:bottom w:val="none" w:sz="0" w:space="0" w:color="auto"/>
        <w:right w:val="none" w:sz="0" w:space="0" w:color="auto"/>
      </w:divBdr>
    </w:div>
    <w:div w:id="2071465786">
      <w:bodyDiv w:val="1"/>
      <w:marLeft w:val="0"/>
      <w:marRight w:val="0"/>
      <w:marTop w:val="0"/>
      <w:marBottom w:val="0"/>
      <w:divBdr>
        <w:top w:val="none" w:sz="0" w:space="0" w:color="auto"/>
        <w:left w:val="none" w:sz="0" w:space="0" w:color="auto"/>
        <w:bottom w:val="none" w:sz="0" w:space="0" w:color="auto"/>
        <w:right w:val="none" w:sz="0" w:space="0" w:color="auto"/>
      </w:divBdr>
    </w:div>
    <w:div w:id="2134203421">
      <w:bodyDiv w:val="1"/>
      <w:marLeft w:val="0"/>
      <w:marRight w:val="0"/>
      <w:marTop w:val="0"/>
      <w:marBottom w:val="0"/>
      <w:divBdr>
        <w:top w:val="none" w:sz="0" w:space="0" w:color="auto"/>
        <w:left w:val="none" w:sz="0" w:space="0" w:color="auto"/>
        <w:bottom w:val="none" w:sz="0" w:space="0" w:color="auto"/>
        <w:right w:val="none" w:sz="0" w:space="0" w:color="auto"/>
      </w:divBdr>
      <w:divsChild>
        <w:div w:id="543635286">
          <w:marLeft w:val="480"/>
          <w:marRight w:val="0"/>
          <w:marTop w:val="0"/>
          <w:marBottom w:val="0"/>
          <w:divBdr>
            <w:top w:val="none" w:sz="0" w:space="0" w:color="auto"/>
            <w:left w:val="none" w:sz="0" w:space="0" w:color="auto"/>
            <w:bottom w:val="none" w:sz="0" w:space="0" w:color="auto"/>
            <w:right w:val="none" w:sz="0" w:space="0" w:color="auto"/>
          </w:divBdr>
          <w:divsChild>
            <w:div w:id="2751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riset.unisma.ac.id/index.php/fai/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E2FC-D53F-42B0-9738-4689DCDD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14</Pages>
  <Words>5136</Words>
  <Characters>29279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ThinkPad</cp:lastModifiedBy>
  <cp:revision>34</cp:revision>
  <cp:lastPrinted>2026-01-28T15:35:00Z</cp:lastPrinted>
  <dcterms:created xsi:type="dcterms:W3CDTF">2025-02-27T02:22:00Z</dcterms:created>
  <dcterms:modified xsi:type="dcterms:W3CDTF">2026-03-02T05:18:00Z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7411a496-804b-3685-8bf6-e928dd8a2d64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y fmtid="{D5CDD505-2E9C-101B-9397-08002B2CF9AE}" pid="25" name="GrammarlyDocumentId">
    <vt:lpwstr>65be3884-32c9-4354-9a9c-260af3bf279e</vt:lpwstr>
  </property>
</Properties>
</file>